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842"/>
        <w:gridCol w:w="3969"/>
      </w:tblGrid>
      <w:tr w:rsidR="006D09C6" w:rsidTr="000067F8">
        <w:trPr>
          <w:trHeight w:val="611"/>
        </w:trPr>
        <w:tc>
          <w:tcPr>
            <w:tcW w:w="3828" w:type="dxa"/>
          </w:tcPr>
          <w:p w:rsidR="006D09C6" w:rsidRPr="00BB1A4D" w:rsidRDefault="006D09C6" w:rsidP="006D09C6">
            <w:pPr>
              <w:jc w:val="center"/>
              <w:rPr>
                <w:sz w:val="6"/>
                <w:szCs w:val="6"/>
              </w:rPr>
            </w:pPr>
          </w:p>
          <w:sdt>
            <w:sdtPr>
              <w:rPr>
                <w:sz w:val="20"/>
                <w:szCs w:val="20"/>
              </w:rPr>
              <w:id w:val="2449849"/>
              <w:lock w:val="sdtContentLocked"/>
              <w:placeholder>
                <w:docPart w:val="CAA02774475744F4895FBAF9F44B0D9E"/>
              </w:placeholder>
            </w:sdtPr>
            <w:sdtEndPr/>
            <w:sdtContent>
              <w:p w:rsidR="006D09C6" w:rsidRPr="00602FE0" w:rsidRDefault="006D09C6" w:rsidP="006D09C6">
                <w:pPr>
                  <w:jc w:val="center"/>
                  <w:rPr>
                    <w:sz w:val="20"/>
                    <w:szCs w:val="20"/>
                  </w:rPr>
                </w:pPr>
                <w:r w:rsidRPr="00602FE0">
                  <w:rPr>
                    <w:sz w:val="20"/>
                    <w:szCs w:val="20"/>
                  </w:rPr>
                  <w:t>МУНИЦИПАЛЬНОЕ ОБРАЗОВАНИЕ</w:t>
                </w:r>
              </w:p>
              <w:p w:rsidR="006D09C6" w:rsidRDefault="006D09C6" w:rsidP="00DA6CFA">
                <w:pPr>
                  <w:tabs>
                    <w:tab w:val="left" w:pos="3969"/>
                  </w:tabs>
                  <w:jc w:val="center"/>
                </w:pPr>
                <w:r w:rsidRPr="00602FE0">
                  <w:rPr>
                    <w:sz w:val="20"/>
                    <w:szCs w:val="20"/>
                  </w:rPr>
                  <w:t>ГОРОДСКОЙ ОКРУГ ГОРОД СУРГУТ</w:t>
                </w:r>
              </w:p>
            </w:sdtContent>
          </w:sdt>
        </w:tc>
        <w:tc>
          <w:tcPr>
            <w:tcW w:w="1842" w:type="dxa"/>
          </w:tcPr>
          <w:p w:rsidR="006D09C6" w:rsidRDefault="006D09C6" w:rsidP="006D09C6">
            <w:pPr>
              <w:pStyle w:val="P20"/>
            </w:pPr>
          </w:p>
        </w:tc>
        <w:tc>
          <w:tcPr>
            <w:tcW w:w="3969" w:type="dxa"/>
          </w:tcPr>
          <w:p w:rsidR="006D09C6" w:rsidRDefault="006D09C6" w:rsidP="006D09C6">
            <w:pPr>
              <w:pStyle w:val="P16"/>
            </w:pPr>
          </w:p>
        </w:tc>
      </w:tr>
      <w:tr w:rsidR="00302D4B" w:rsidRPr="00F07174" w:rsidTr="000067F8">
        <w:tc>
          <w:tcPr>
            <w:tcW w:w="3828" w:type="dxa"/>
          </w:tcPr>
          <w:sdt>
            <w:sdtPr>
              <w:rPr>
                <w:b w:val="0"/>
                <w:sz w:val="12"/>
                <w:szCs w:val="12"/>
              </w:rPr>
              <w:id w:val="2449848"/>
              <w:lock w:val="sdtContentLocked"/>
              <w:placeholder>
                <w:docPart w:val="CAA02774475744F4895FBAF9F44B0D9E"/>
              </w:placeholder>
            </w:sdtPr>
            <w:sdtEndPr>
              <w:rPr>
                <w:sz w:val="22"/>
                <w:szCs w:val="22"/>
                <w:lang w:val="en-US"/>
              </w:rPr>
            </w:sdtEndPr>
            <w:sdtContent>
              <w:p w:rsidR="00302D4B" w:rsidRPr="00C16FFA" w:rsidRDefault="00302D4B" w:rsidP="006D09C6">
                <w:pPr>
                  <w:pStyle w:val="1"/>
                  <w:rPr>
                    <w:sz w:val="12"/>
                    <w:szCs w:val="12"/>
                  </w:rPr>
                </w:pPr>
              </w:p>
              <w:p w:rsidR="00302D4B" w:rsidRDefault="00652A05" w:rsidP="006D09C6">
                <w:pPr>
                  <w:pStyle w:val="1"/>
                  <w:rPr>
                    <w:sz w:val="24"/>
                  </w:rPr>
                </w:pPr>
                <w:r>
                  <w:rPr>
                    <w:sz w:val="24"/>
                  </w:rPr>
                  <w:t>ПРЕДСЕДАТЕЛЬ</w:t>
                </w:r>
              </w:p>
              <w:p w:rsidR="00302D4B" w:rsidRPr="00B25FF6" w:rsidRDefault="00652A05" w:rsidP="006D09C6">
                <w:pPr>
                  <w:pStyle w:val="1"/>
                  <w:rPr>
                    <w:sz w:val="24"/>
                  </w:rPr>
                </w:pPr>
                <w:r w:rsidRPr="00472FAB">
                  <w:rPr>
                    <w:sz w:val="24"/>
                  </w:rPr>
                  <w:t>ДУМ</w:t>
                </w:r>
                <w:r>
                  <w:rPr>
                    <w:sz w:val="24"/>
                  </w:rPr>
                  <w:t>Ы</w:t>
                </w:r>
                <w:r w:rsidRPr="00472FAB">
                  <w:rPr>
                    <w:sz w:val="24"/>
                  </w:rPr>
                  <w:t xml:space="preserve"> ГОРОДА СУРГУТА</w:t>
                </w:r>
              </w:p>
              <w:p w:rsidR="00302D4B" w:rsidRDefault="00302D4B" w:rsidP="006D09C6">
                <w:pPr>
                  <w:jc w:val="center"/>
                  <w:rPr>
                    <w:sz w:val="20"/>
                    <w:szCs w:val="20"/>
                  </w:rPr>
                </w:pPr>
              </w:p>
              <w:p w:rsidR="00302D4B" w:rsidRDefault="00302D4B" w:rsidP="006D09C6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ул. Восход, 4, г. Сургут,</w:t>
                </w:r>
              </w:p>
              <w:p w:rsidR="00302D4B" w:rsidRDefault="00302D4B" w:rsidP="006D09C6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Тюменская область, Ханты-Мансийский</w:t>
                </w:r>
              </w:p>
              <w:p w:rsidR="00302D4B" w:rsidRDefault="00302D4B" w:rsidP="006D09C6">
                <w:pPr>
                  <w:tabs>
                    <w:tab w:val="left" w:pos="3969"/>
                  </w:tabs>
                  <w:jc w:val="center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автономный округ – Югра, 628404</w:t>
                </w:r>
              </w:p>
              <w:p w:rsidR="00302D4B" w:rsidRPr="00997E5D" w:rsidRDefault="000067F8" w:rsidP="006D09C6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Тел. (3462) 52-81-67,</w:t>
                </w:r>
              </w:p>
              <w:p w:rsidR="00302D4B" w:rsidRDefault="00302D4B" w:rsidP="006D09C6">
                <w:pPr>
                  <w:jc w:val="center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тел./ факс (3462)52-80-12;</w:t>
                </w:r>
              </w:p>
              <w:p w:rsidR="00302D4B" w:rsidRPr="000067F8" w:rsidRDefault="00306EE5" w:rsidP="006D09C6">
                <w:pPr>
                  <w:tabs>
                    <w:tab w:val="left" w:pos="3969"/>
                  </w:tabs>
                  <w:jc w:val="center"/>
                  <w:rPr>
                    <w:sz w:val="22"/>
                    <w:szCs w:val="22"/>
                  </w:rPr>
                </w:pPr>
                <w:hyperlink r:id="rId7" w:history="1">
                  <w:r w:rsidR="00302D4B" w:rsidRPr="00672E66">
                    <w:rPr>
                      <w:sz w:val="22"/>
                      <w:szCs w:val="22"/>
                      <w:lang w:val="en-US"/>
                    </w:rPr>
                    <w:t>http</w:t>
                  </w:r>
                  <w:r w:rsidR="00302D4B" w:rsidRPr="000067F8">
                    <w:rPr>
                      <w:sz w:val="22"/>
                      <w:szCs w:val="22"/>
                    </w:rPr>
                    <w:t>://</w:t>
                  </w:r>
                  <w:r w:rsidR="00302D4B" w:rsidRPr="00672E66">
                    <w:rPr>
                      <w:sz w:val="22"/>
                      <w:szCs w:val="22"/>
                      <w:lang w:val="en-US"/>
                    </w:rPr>
                    <w:t>www</w:t>
                  </w:r>
                  <w:r w:rsidR="00302D4B" w:rsidRPr="000067F8">
                    <w:rPr>
                      <w:sz w:val="22"/>
                      <w:szCs w:val="22"/>
                    </w:rPr>
                    <w:t>.</w:t>
                  </w:r>
                  <w:r w:rsidR="00302D4B" w:rsidRPr="00672E66">
                    <w:rPr>
                      <w:sz w:val="22"/>
                      <w:szCs w:val="22"/>
                      <w:lang w:val="en-US"/>
                    </w:rPr>
                    <w:t>dumasurgut</w:t>
                  </w:r>
                  <w:r w:rsidR="00302D4B" w:rsidRPr="000067F8">
                    <w:rPr>
                      <w:sz w:val="22"/>
                      <w:szCs w:val="22"/>
                    </w:rPr>
                    <w:t>.</w:t>
                  </w:r>
                  <w:r w:rsidR="00302D4B" w:rsidRPr="00672E66">
                    <w:rPr>
                      <w:sz w:val="22"/>
                      <w:szCs w:val="22"/>
                      <w:lang w:val="en-US"/>
                    </w:rPr>
                    <w:t>ru</w:t>
                  </w:r>
                </w:hyperlink>
                <w:r w:rsidR="000067F8">
                  <w:rPr>
                    <w:sz w:val="22"/>
                    <w:szCs w:val="22"/>
                  </w:rPr>
                  <w:t>;</w:t>
                </w:r>
              </w:p>
              <w:p w:rsidR="00302D4B" w:rsidRPr="00672E66" w:rsidRDefault="00302D4B" w:rsidP="006D09C6">
                <w:pPr>
                  <w:jc w:val="center"/>
                  <w:rPr>
                    <w:sz w:val="22"/>
                    <w:szCs w:val="22"/>
                    <w:lang w:val="en-US"/>
                  </w:rPr>
                </w:pPr>
                <w:r>
                  <w:rPr>
                    <w:sz w:val="22"/>
                    <w:szCs w:val="22"/>
                    <w:lang w:val="en-US"/>
                  </w:rPr>
                  <w:t>e-mail</w:t>
                </w:r>
                <w:r w:rsidRPr="00672E66">
                  <w:rPr>
                    <w:sz w:val="22"/>
                    <w:szCs w:val="22"/>
                    <w:lang w:val="en-US"/>
                  </w:rPr>
                  <w:t xml:space="preserve">: </w:t>
                </w:r>
                <w:r>
                  <w:rPr>
                    <w:sz w:val="22"/>
                    <w:szCs w:val="22"/>
                    <w:lang w:val="en-US"/>
                  </w:rPr>
                  <w:t>duma@admsurgut.ru</w:t>
                </w:r>
              </w:p>
            </w:sdtContent>
          </w:sdt>
          <w:p w:rsidR="00302D4B" w:rsidRPr="00652A05" w:rsidRDefault="00302D4B" w:rsidP="006D09C6">
            <w:pPr>
              <w:pStyle w:val="P24"/>
              <w:rPr>
                <w:lang w:val="en-US"/>
              </w:rPr>
            </w:pPr>
          </w:p>
        </w:tc>
        <w:tc>
          <w:tcPr>
            <w:tcW w:w="1842" w:type="dxa"/>
          </w:tcPr>
          <w:p w:rsidR="00302D4B" w:rsidRPr="00652A05" w:rsidRDefault="00302D4B" w:rsidP="006D09C6">
            <w:pPr>
              <w:pStyle w:val="P20"/>
              <w:rPr>
                <w:lang w:val="en-US"/>
              </w:rPr>
            </w:pPr>
          </w:p>
        </w:tc>
        <w:tc>
          <w:tcPr>
            <w:tcW w:w="3969" w:type="dxa"/>
            <w:vMerge w:val="restart"/>
          </w:tcPr>
          <w:p w:rsidR="00FE1ABF" w:rsidRDefault="00F07174" w:rsidP="00B7632F">
            <w:pPr>
              <w:pStyle w:val="P22"/>
              <w:ind w:left="35"/>
            </w:pPr>
            <w:r>
              <w:t xml:space="preserve">Председателю Думы Ханты-Мансийского автономного округа – Югры </w:t>
            </w:r>
          </w:p>
          <w:p w:rsidR="00F07174" w:rsidRPr="00F07174" w:rsidRDefault="00F07174" w:rsidP="00B7632F">
            <w:pPr>
              <w:pStyle w:val="P22"/>
              <w:ind w:left="35"/>
            </w:pPr>
            <w:r>
              <w:t>Б.С. Хохрякову</w:t>
            </w:r>
          </w:p>
        </w:tc>
      </w:tr>
      <w:tr w:rsidR="00302D4B" w:rsidRPr="005D6FE6" w:rsidTr="000C3F4B">
        <w:trPr>
          <w:trHeight w:val="1440"/>
        </w:trPr>
        <w:tc>
          <w:tcPr>
            <w:tcW w:w="3828" w:type="dxa"/>
          </w:tcPr>
          <w:p w:rsidR="00302D4B" w:rsidRPr="005D6FE6" w:rsidRDefault="00302D4B" w:rsidP="006D09C6">
            <w:pPr>
              <w:pStyle w:val="1"/>
              <w:rPr>
                <w:sz w:val="24"/>
                <w:szCs w:val="24"/>
              </w:rPr>
            </w:pPr>
          </w:p>
          <w:p w:rsidR="00EE0CA2" w:rsidRPr="005D6FE6" w:rsidRDefault="00EE0CA2" w:rsidP="00EE0CA2">
            <w:pPr>
              <w:rPr>
                <w:sz w:val="24"/>
              </w:rPr>
            </w:pPr>
          </w:p>
          <w:p w:rsidR="00EE0CA2" w:rsidRPr="005D6FE6" w:rsidRDefault="00EE0CA2" w:rsidP="00EE0CA2">
            <w:pPr>
              <w:rPr>
                <w:sz w:val="24"/>
              </w:rPr>
            </w:pPr>
          </w:p>
          <w:p w:rsidR="00EE0CA2" w:rsidRPr="005D6FE6" w:rsidRDefault="00EE0CA2" w:rsidP="00EE0CA2">
            <w:pPr>
              <w:rPr>
                <w:sz w:val="24"/>
              </w:rPr>
            </w:pPr>
          </w:p>
          <w:p w:rsidR="00EE0CA2" w:rsidRPr="005D6FE6" w:rsidRDefault="00EE0CA2" w:rsidP="00EE0CA2">
            <w:pPr>
              <w:rPr>
                <w:sz w:val="24"/>
              </w:rPr>
            </w:pPr>
          </w:p>
          <w:p w:rsidR="001F7CF1" w:rsidRPr="005D6FE6" w:rsidRDefault="005D6FE6" w:rsidP="00EE0CA2">
            <w:pPr>
              <w:rPr>
                <w:sz w:val="24"/>
              </w:rPr>
            </w:pPr>
            <w:r w:rsidRPr="005D6FE6">
              <w:rPr>
                <w:sz w:val="24"/>
              </w:rPr>
              <w:t>На исх. № 2449 от 15.11.2017</w:t>
            </w:r>
          </w:p>
          <w:p w:rsidR="005D6FE6" w:rsidRPr="005D6FE6" w:rsidRDefault="005D6FE6" w:rsidP="00EE0CA2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302D4B" w:rsidRPr="005D6FE6" w:rsidRDefault="00302D4B" w:rsidP="006D09C6">
            <w:pPr>
              <w:pStyle w:val="P20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02D4B" w:rsidRPr="005D6FE6" w:rsidRDefault="00302D4B" w:rsidP="006D09C6">
            <w:pPr>
              <w:pStyle w:val="P17"/>
              <w:ind w:left="757"/>
              <w:rPr>
                <w:sz w:val="24"/>
                <w:szCs w:val="24"/>
              </w:rPr>
            </w:pPr>
          </w:p>
        </w:tc>
      </w:tr>
    </w:tbl>
    <w:p w:rsidR="00FE1ABF" w:rsidRDefault="00F07174" w:rsidP="00FE1ABF">
      <w:pPr>
        <w:jc w:val="center"/>
      </w:pPr>
      <w:r>
        <w:t>Уважаемый Борис Сергеевич</w:t>
      </w:r>
      <w:r w:rsidR="00FE1ABF">
        <w:t>!</w:t>
      </w:r>
    </w:p>
    <w:p w:rsidR="005D6FE6" w:rsidRDefault="005D6FE6" w:rsidP="00FE1ABF">
      <w:pPr>
        <w:jc w:val="center"/>
      </w:pPr>
    </w:p>
    <w:p w:rsidR="005D6FE6" w:rsidRDefault="00CD7B44" w:rsidP="00165BA0">
      <w:pPr>
        <w:ind w:firstLine="567"/>
        <w:jc w:val="both"/>
        <w:rPr>
          <w:szCs w:val="28"/>
        </w:rPr>
      </w:pPr>
      <w:r>
        <w:t xml:space="preserve">  </w:t>
      </w:r>
      <w:r w:rsidR="005D6FE6">
        <w:rPr>
          <w:szCs w:val="28"/>
        </w:rPr>
        <w:t xml:space="preserve">Направляю </w:t>
      </w:r>
      <w:r w:rsidR="001C4022">
        <w:rPr>
          <w:szCs w:val="28"/>
        </w:rPr>
        <w:t xml:space="preserve">Вам </w:t>
      </w:r>
      <w:r w:rsidR="004645F5">
        <w:rPr>
          <w:szCs w:val="28"/>
        </w:rPr>
        <w:t xml:space="preserve">информацию о реализации решений третьего и четвертого </w:t>
      </w:r>
      <w:r w:rsidR="001D1EA4">
        <w:rPr>
          <w:szCs w:val="28"/>
        </w:rPr>
        <w:t>заседаний</w:t>
      </w:r>
      <w:r w:rsidR="005D6FE6">
        <w:rPr>
          <w:szCs w:val="28"/>
        </w:rPr>
        <w:t xml:space="preserve">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Югры.</w:t>
      </w:r>
    </w:p>
    <w:p w:rsidR="005D6FE6" w:rsidRDefault="00AB4B36" w:rsidP="005D6FE6">
      <w:pPr>
        <w:spacing w:line="120" w:lineRule="atLeast"/>
        <w:ind w:firstLine="709"/>
        <w:rPr>
          <w:szCs w:val="28"/>
        </w:rPr>
      </w:pPr>
      <w:r>
        <w:rPr>
          <w:szCs w:val="28"/>
        </w:rPr>
        <w:t>Приложение: на 9</w:t>
      </w:r>
      <w:r w:rsidR="005D6FE6">
        <w:rPr>
          <w:szCs w:val="28"/>
        </w:rPr>
        <w:t xml:space="preserve"> л. в 1 экз.</w:t>
      </w: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jc w:val="both"/>
      </w:pPr>
      <w:r>
        <w:t xml:space="preserve">Председатель Думы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Н.А. Красноярова</w:t>
      </w: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Default="005D6FE6" w:rsidP="005D6FE6">
      <w:pPr>
        <w:ind w:firstLine="567"/>
        <w:jc w:val="both"/>
      </w:pPr>
    </w:p>
    <w:p w:rsidR="005D6FE6" w:rsidRPr="005D6FE6" w:rsidRDefault="005D6FE6" w:rsidP="005D6FE6">
      <w:pPr>
        <w:jc w:val="both"/>
        <w:rPr>
          <w:sz w:val="24"/>
        </w:rPr>
      </w:pPr>
      <w:r w:rsidRPr="005D6FE6">
        <w:rPr>
          <w:sz w:val="24"/>
        </w:rPr>
        <w:t>Ю.С. Савинкова</w:t>
      </w:r>
    </w:p>
    <w:p w:rsidR="005D6FE6" w:rsidRPr="005D6FE6" w:rsidRDefault="005D6FE6" w:rsidP="005D6FE6">
      <w:pPr>
        <w:jc w:val="both"/>
        <w:rPr>
          <w:sz w:val="24"/>
        </w:rPr>
      </w:pPr>
      <w:r w:rsidRPr="005D6FE6">
        <w:rPr>
          <w:sz w:val="24"/>
        </w:rPr>
        <w:t>(3462) 52-80-65</w:t>
      </w:r>
    </w:p>
    <w:p w:rsidR="005D6FE6" w:rsidRPr="005D6FE6" w:rsidRDefault="005D6FE6" w:rsidP="005D6FE6">
      <w:pPr>
        <w:ind w:firstLine="567"/>
        <w:jc w:val="both"/>
        <w:rPr>
          <w:sz w:val="20"/>
          <w:szCs w:val="20"/>
        </w:rPr>
      </w:pPr>
    </w:p>
    <w:p w:rsidR="005D6FE6" w:rsidRPr="005D6FE6" w:rsidRDefault="005D6FE6" w:rsidP="005D6FE6">
      <w:pPr>
        <w:ind w:firstLine="567"/>
        <w:jc w:val="both"/>
        <w:rPr>
          <w:sz w:val="20"/>
          <w:szCs w:val="20"/>
        </w:rPr>
      </w:pPr>
    </w:p>
    <w:p w:rsidR="001D1EA4" w:rsidRDefault="001D1EA4" w:rsidP="005D6FE6">
      <w:pPr>
        <w:ind w:firstLine="5529"/>
        <w:jc w:val="both"/>
      </w:pPr>
    </w:p>
    <w:p w:rsidR="00165BA0" w:rsidRDefault="00165BA0" w:rsidP="005D6FE6">
      <w:pPr>
        <w:ind w:firstLine="5529"/>
        <w:jc w:val="both"/>
      </w:pPr>
      <w:bookmarkStart w:id="0" w:name="_GoBack"/>
      <w:bookmarkEnd w:id="0"/>
    </w:p>
    <w:p w:rsidR="005D6FE6" w:rsidRDefault="005D6FE6" w:rsidP="005D6FE6">
      <w:pPr>
        <w:ind w:firstLine="5529"/>
        <w:jc w:val="both"/>
      </w:pPr>
      <w:r>
        <w:lastRenderedPageBreak/>
        <w:t>Приложение к письму</w:t>
      </w:r>
    </w:p>
    <w:p w:rsidR="005D6FE6" w:rsidRDefault="005D6FE6" w:rsidP="005D6FE6">
      <w:pPr>
        <w:ind w:firstLine="5529"/>
        <w:jc w:val="both"/>
      </w:pPr>
      <w:r>
        <w:t xml:space="preserve">от_____________№ ___________ </w:t>
      </w:r>
    </w:p>
    <w:p w:rsidR="005D6FE6" w:rsidRPr="00014DEE" w:rsidRDefault="005D6FE6" w:rsidP="005D6FE6">
      <w:pPr>
        <w:ind w:firstLine="567"/>
        <w:jc w:val="both"/>
      </w:pPr>
    </w:p>
    <w:p w:rsidR="00014DEE" w:rsidRPr="00014DEE" w:rsidRDefault="00014DEE" w:rsidP="00014DEE">
      <w:pPr>
        <w:spacing w:line="120" w:lineRule="atLeast"/>
        <w:jc w:val="center"/>
        <w:rPr>
          <w:szCs w:val="28"/>
        </w:rPr>
      </w:pPr>
      <w:r w:rsidRPr="00014DEE">
        <w:rPr>
          <w:szCs w:val="28"/>
        </w:rPr>
        <w:t xml:space="preserve">Информация о реализации решений третьего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</w:t>
      </w:r>
      <w:r w:rsidRPr="00014DEE">
        <w:rPr>
          <w:szCs w:val="28"/>
        </w:rPr>
        <w:br/>
        <w:t>и Думы Ханты-Мансийского автономного округа – Югры</w:t>
      </w:r>
    </w:p>
    <w:p w:rsidR="00014DEE" w:rsidRDefault="00014DEE" w:rsidP="00014DEE">
      <w:pPr>
        <w:jc w:val="center"/>
        <w:rPr>
          <w:szCs w:val="28"/>
        </w:rPr>
      </w:pPr>
    </w:p>
    <w:p w:rsidR="00F43B18" w:rsidRPr="007A1D9E" w:rsidRDefault="00F43B18" w:rsidP="00F43B18">
      <w:pPr>
        <w:spacing w:line="120" w:lineRule="atLeast"/>
        <w:ind w:firstLine="567"/>
        <w:jc w:val="both"/>
        <w:rPr>
          <w:szCs w:val="28"/>
        </w:rPr>
      </w:pPr>
      <w:r w:rsidRPr="007A1D9E">
        <w:rPr>
          <w:szCs w:val="28"/>
        </w:rPr>
        <w:t>По пункту 1.</w:t>
      </w:r>
    </w:p>
    <w:p w:rsidR="00F43B18" w:rsidRPr="007A1D9E" w:rsidRDefault="00F43B18" w:rsidP="00F43B18">
      <w:pPr>
        <w:tabs>
          <w:tab w:val="left" w:pos="360"/>
        </w:tabs>
        <w:ind w:firstLine="567"/>
        <w:jc w:val="both"/>
        <w:rPr>
          <w:bCs/>
          <w:szCs w:val="28"/>
        </w:rPr>
      </w:pPr>
      <w:r>
        <w:rPr>
          <w:bCs/>
          <w:szCs w:val="28"/>
        </w:rPr>
        <w:t>В</w:t>
      </w:r>
      <w:r w:rsidRPr="007A1D9E">
        <w:rPr>
          <w:bCs/>
          <w:szCs w:val="28"/>
        </w:rPr>
        <w:t xml:space="preserve"> соответствии с положением части 2 статьи 81 Жилищного кодекса Российской Федерации, пунктом 4 статьи 15 Закона Ханты-Мансийского автономного округа </w:t>
      </w:r>
      <w:r>
        <w:rPr>
          <w:bCs/>
          <w:szCs w:val="28"/>
        </w:rPr>
        <w:t>– Югры</w:t>
      </w:r>
      <w:r w:rsidRPr="007A1D9E">
        <w:rPr>
          <w:bCs/>
          <w:szCs w:val="28"/>
        </w:rPr>
        <w:t xml:space="preserve"> от 06.07.2005 № 57-оз «О регулировании отдельных жилищных отношений в Ханты-Мансийском автономном округе – Югре» инвалиды и семьи, имеющие детей-инвалидов, являющиеся нанимателями жилых помещений по договорам социального найма, вправе с согласия проживающих совместно с ними членов семьи обратиться в адрес Администрации города с заявлением о замене занимаемого жилого помещения на равноценное жилое помещение.</w:t>
      </w:r>
    </w:p>
    <w:p w:rsidR="00F43B18" w:rsidRPr="007A1D9E" w:rsidRDefault="00F43B18" w:rsidP="00F43B18">
      <w:pPr>
        <w:spacing w:line="120" w:lineRule="atLeast"/>
        <w:ind w:firstLine="567"/>
        <w:jc w:val="both"/>
        <w:rPr>
          <w:szCs w:val="28"/>
        </w:rPr>
      </w:pPr>
      <w:r w:rsidRPr="007A1D9E">
        <w:rPr>
          <w:bCs/>
          <w:szCs w:val="28"/>
        </w:rPr>
        <w:t xml:space="preserve">Порядок замены муниципальных жилых помещений инвалидам, семьям, имеющим детей-инвалидов, являющихся нанимателями жилых помещений </w:t>
      </w:r>
      <w:r w:rsidRPr="007A1D9E">
        <w:rPr>
          <w:bCs/>
          <w:szCs w:val="28"/>
        </w:rPr>
        <w:br/>
        <w:t>п</w:t>
      </w:r>
      <w:r>
        <w:rPr>
          <w:bCs/>
          <w:szCs w:val="28"/>
        </w:rPr>
        <w:t>о договорам социального найма (далее – Порядок)</w:t>
      </w:r>
      <w:r w:rsidRPr="007A1D9E">
        <w:rPr>
          <w:bCs/>
          <w:szCs w:val="28"/>
        </w:rPr>
        <w:t xml:space="preserve"> </w:t>
      </w:r>
      <w:r>
        <w:rPr>
          <w:szCs w:val="28"/>
        </w:rPr>
        <w:t>утвержден</w:t>
      </w:r>
      <w:r w:rsidRPr="007A1D9E">
        <w:rPr>
          <w:szCs w:val="28"/>
        </w:rPr>
        <w:t xml:space="preserve"> постановлением Администрации города от 04.09.2015 № 6195 «Об утверждении порядка замены жилых помещений инвалидам, семьям, имеющим детей-инвалидов, являющихся нанимателями жилых помещений по договорам социального найма муниципального жилищного фонда».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>По пункту 2.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>
        <w:rPr>
          <w:szCs w:val="28"/>
        </w:rPr>
        <w:t>В</w:t>
      </w:r>
      <w:r w:rsidRPr="007A1D9E">
        <w:rPr>
          <w:szCs w:val="28"/>
        </w:rPr>
        <w:t xml:space="preserve"> целях исполнения рекомендации Координационного совета по вопросу</w:t>
      </w:r>
      <w:r>
        <w:rPr>
          <w:szCs w:val="28"/>
        </w:rPr>
        <w:t xml:space="preserve"> </w:t>
      </w:r>
      <w:r w:rsidRPr="007A1D9E">
        <w:rPr>
          <w:szCs w:val="28"/>
        </w:rPr>
        <w:t xml:space="preserve">обеспечения сбалансированности целевых показателей государственной программы Ханты-Мансийского автономного округа – Югры «Развитие физической культуры и спорта в Ханты-Мансийском автономном округе – Югре на 2016-2020 годы» с показателями соответствующих муниципальных программ управлением физической культуры и спорта Администрации города внесены изменения в муниципальную программу «Развитие физической культуры </w:t>
      </w:r>
      <w:r w:rsidR="0075060E">
        <w:rPr>
          <w:szCs w:val="28"/>
        </w:rPr>
        <w:br/>
      </w:r>
      <w:r w:rsidRPr="007A1D9E">
        <w:rPr>
          <w:szCs w:val="28"/>
        </w:rPr>
        <w:t>и спорта в городе Сургуте на 2014–2030 годы» в части следующих целевых показателей: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1. Доля населения, систематически занимающегося физической культурой </w:t>
      </w:r>
      <w:r w:rsidRPr="007A1D9E">
        <w:rPr>
          <w:szCs w:val="28"/>
        </w:rPr>
        <w:br/>
        <w:t>и спортом от общей численности населения.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2. Обеспеченность населения спортивными сооружениями исходя </w:t>
      </w:r>
      <w:r w:rsidRPr="007A1D9E">
        <w:rPr>
          <w:szCs w:val="28"/>
        </w:rPr>
        <w:br/>
        <w:t xml:space="preserve">из единовременной пропускной способности объектов спорта.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>3. Доля средств бюджета муниципального образования, выделяемых негосударственным организациям, в том числе социально ориентированным некоммерческим организациям, на предоставление услуг (работ), в общем объеме средств бюджета управления физической культуры и спорта, выделяемых на предоставление услуг в социальной сфере.</w:t>
      </w:r>
    </w:p>
    <w:p w:rsidR="00F43B18" w:rsidRPr="007A1D9E" w:rsidRDefault="00F43B18" w:rsidP="00F43B18">
      <w:pPr>
        <w:spacing w:line="120" w:lineRule="atLeast"/>
        <w:ind w:firstLine="567"/>
        <w:jc w:val="both"/>
        <w:rPr>
          <w:szCs w:val="28"/>
        </w:rPr>
      </w:pPr>
      <w:r w:rsidRPr="007A1D9E">
        <w:rPr>
          <w:szCs w:val="28"/>
        </w:rPr>
        <w:lastRenderedPageBreak/>
        <w:t>По пункту 3.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>
        <w:rPr>
          <w:szCs w:val="28"/>
        </w:rPr>
        <w:t>В</w:t>
      </w:r>
      <w:r w:rsidRPr="007A1D9E">
        <w:rPr>
          <w:szCs w:val="28"/>
        </w:rPr>
        <w:t xml:space="preserve"> муниципальной системе образования сложилась и успешно функционирует современная модель выявления, сопровождения и поддержки одаренных детей, которая выстроена по принципу непрерывности </w:t>
      </w:r>
      <w:r>
        <w:rPr>
          <w:szCs w:val="28"/>
        </w:rPr>
        <w:br/>
      </w:r>
      <w:r w:rsidRPr="007A1D9E">
        <w:rPr>
          <w:szCs w:val="28"/>
        </w:rPr>
        <w:t xml:space="preserve">и преемственности на всех уровнях образования в течение учебного года.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На базах муниципальных бюджетных общеобразовательных учреждений </w:t>
      </w:r>
      <w:r>
        <w:rPr>
          <w:szCs w:val="28"/>
        </w:rPr>
        <w:t xml:space="preserve">города </w:t>
      </w:r>
      <w:r w:rsidRPr="007A1D9E">
        <w:rPr>
          <w:szCs w:val="28"/>
        </w:rPr>
        <w:t xml:space="preserve">функционируют шестнадцать центров по работе с одаренными детьми, </w:t>
      </w:r>
      <w:r>
        <w:rPr>
          <w:szCs w:val="28"/>
        </w:rPr>
        <w:br/>
      </w:r>
      <w:r w:rsidRPr="007A1D9E">
        <w:rPr>
          <w:szCs w:val="28"/>
        </w:rPr>
        <w:t xml:space="preserve">из них: три специализированных центра дополнительного образования по работе </w:t>
      </w:r>
      <w:r w:rsidRPr="007A1D9E">
        <w:rPr>
          <w:szCs w:val="28"/>
        </w:rPr>
        <w:br/>
        <w:t xml:space="preserve">с одаренными и высокомотивированными детьми; три ресурсных центра </w:t>
      </w:r>
      <w:r>
        <w:rPr>
          <w:szCs w:val="28"/>
        </w:rPr>
        <w:br/>
      </w:r>
      <w:r w:rsidRPr="007A1D9E">
        <w:rPr>
          <w:szCs w:val="28"/>
        </w:rPr>
        <w:t xml:space="preserve">по работе с интеллектуально-одаренными детьми по направлениям (инженерно-математическое, гуманитарное, естественно-научное); два ресурсных центра </w:t>
      </w:r>
      <w:r w:rsidRPr="007A1D9E">
        <w:rPr>
          <w:szCs w:val="28"/>
        </w:rPr>
        <w:br/>
        <w:t>по образоват</w:t>
      </w:r>
      <w:r>
        <w:rPr>
          <w:szCs w:val="28"/>
        </w:rPr>
        <w:t xml:space="preserve">ельной робототехнике; </w:t>
      </w:r>
      <w:r w:rsidRPr="007A1D9E">
        <w:rPr>
          <w:szCs w:val="28"/>
        </w:rPr>
        <w:t xml:space="preserve">один ресурсный центр по повышению финансовой грамотности обучающихся (социально-экономическое направление); </w:t>
      </w:r>
      <w:r w:rsidRPr="007A1D9E">
        <w:rPr>
          <w:rFonts w:eastAsia="Calibri"/>
          <w:szCs w:val="28"/>
        </w:rPr>
        <w:t xml:space="preserve">семь </w:t>
      </w:r>
      <w:r w:rsidRPr="007A1D9E">
        <w:rPr>
          <w:szCs w:val="28"/>
        </w:rPr>
        <w:t xml:space="preserve">центров дополнительного образования. </w:t>
      </w:r>
    </w:p>
    <w:p w:rsidR="00F43B18" w:rsidRPr="007A1D9E" w:rsidRDefault="00F43B18" w:rsidP="00156AF9">
      <w:pPr>
        <w:ind w:firstLine="567"/>
        <w:jc w:val="both"/>
        <w:rPr>
          <w:rFonts w:eastAsia="Calibri"/>
          <w:szCs w:val="28"/>
        </w:rPr>
      </w:pPr>
      <w:r w:rsidRPr="007A1D9E">
        <w:rPr>
          <w:szCs w:val="28"/>
        </w:rPr>
        <w:t xml:space="preserve">В 2016 году на базе общеобразовательных учреждений и учреждений дополнительного образования созданы </w:t>
      </w:r>
      <w:proofErr w:type="spellStart"/>
      <w:r w:rsidRPr="007A1D9E">
        <w:rPr>
          <w:szCs w:val="28"/>
        </w:rPr>
        <w:t>тьюторские</w:t>
      </w:r>
      <w:proofErr w:type="spellEnd"/>
      <w:r w:rsidRPr="007A1D9E">
        <w:rPr>
          <w:szCs w:val="28"/>
        </w:rPr>
        <w:t xml:space="preserve"> центры по развитию приоритетных направлений в сфере дополнительного образования детей.</w:t>
      </w:r>
    </w:p>
    <w:p w:rsidR="00F43B18" w:rsidRPr="007A1D9E" w:rsidRDefault="00F43B18" w:rsidP="00F43B18">
      <w:pPr>
        <w:tabs>
          <w:tab w:val="left" w:pos="0"/>
        </w:tabs>
        <w:ind w:firstLine="567"/>
        <w:jc w:val="both"/>
        <w:rPr>
          <w:szCs w:val="28"/>
        </w:rPr>
      </w:pPr>
      <w:r w:rsidRPr="007A1D9E">
        <w:rPr>
          <w:szCs w:val="28"/>
        </w:rPr>
        <w:t xml:space="preserve">В рамках подготовки к всероссийской олимпиаде школьников реализуется проект «Сетевая профильная школа», рассчитанный на обучающихся 8-10 классов, и направленный на развитие познавательного интереса, предметных способностей интеллектуально-одаренных детей города. Программа проекта предусматривает проведение двух сессий в год – весенней и осенней </w:t>
      </w:r>
      <w:r>
        <w:rPr>
          <w:szCs w:val="28"/>
        </w:rPr>
        <w:br/>
      </w:r>
      <w:r w:rsidRPr="007A1D9E">
        <w:rPr>
          <w:szCs w:val="28"/>
        </w:rPr>
        <w:t>с привлечением специалистов из числа профессорско-преподавательского состава учреждений высшего образования. К реализации проекта привлекаются специалисты высшей школы – БУ ВО ХМАО – Югры «Сургутский государственный университет», БУ ВО ХМАО – Югры «Сургутский государственный педагогический университет» (г. Сургут), «Южно-у</w:t>
      </w:r>
      <w:r>
        <w:rPr>
          <w:szCs w:val="28"/>
        </w:rPr>
        <w:t>ральский государственный университет</w:t>
      </w:r>
      <w:r w:rsidRPr="007A1D9E">
        <w:rPr>
          <w:szCs w:val="28"/>
        </w:rPr>
        <w:t>» (г. Челябинск), ФГБОУ ВПО «Югорский государственный университет», «Югорский физико-математический</w:t>
      </w:r>
      <w:r>
        <w:rPr>
          <w:szCs w:val="28"/>
        </w:rPr>
        <w:br/>
      </w:r>
      <w:r w:rsidRPr="007A1D9E">
        <w:rPr>
          <w:szCs w:val="28"/>
        </w:rPr>
        <w:t>лицей» (г. Ханты-Мансийск), ведущие специалисты разных образовательных областей.</w:t>
      </w:r>
    </w:p>
    <w:p w:rsidR="00F43B18" w:rsidRPr="007A1D9E" w:rsidRDefault="00F43B18" w:rsidP="00F43B18">
      <w:pPr>
        <w:ind w:firstLine="567"/>
        <w:jc w:val="both"/>
        <w:rPr>
          <w:color w:val="000000"/>
          <w:szCs w:val="28"/>
        </w:rPr>
      </w:pPr>
      <w:r w:rsidRPr="007A1D9E">
        <w:rPr>
          <w:szCs w:val="28"/>
        </w:rPr>
        <w:t xml:space="preserve">В рамках индивидуальной подготовки учащихся к региональному </w:t>
      </w:r>
      <w:r w:rsidRPr="007A1D9E">
        <w:rPr>
          <w:szCs w:val="28"/>
        </w:rPr>
        <w:br/>
        <w:t xml:space="preserve">и заключительному этапам всероссийской олимпиады школьников </w:t>
      </w:r>
      <w:r w:rsidRPr="007A1D9E">
        <w:rPr>
          <w:szCs w:val="28"/>
        </w:rPr>
        <w:br/>
        <w:t xml:space="preserve">на муниципальном уровне </w:t>
      </w:r>
      <w:r w:rsidRPr="007A1D9E">
        <w:rPr>
          <w:color w:val="000000"/>
          <w:szCs w:val="28"/>
        </w:rPr>
        <w:t xml:space="preserve">разработана модель сопровождения обучающихся, включающая проведение учебно-тренировочных сборов на базе учреждений высшего образования города, </w:t>
      </w:r>
      <w:r>
        <w:rPr>
          <w:color w:val="000000"/>
          <w:szCs w:val="28"/>
        </w:rPr>
        <w:t>лекций, семинаров (в том числе</w:t>
      </w:r>
      <w:r w:rsidRPr="007A1D9E">
        <w:rPr>
          <w:color w:val="000000"/>
          <w:szCs w:val="28"/>
        </w:rPr>
        <w:t xml:space="preserve"> дистанционно), практических и лабораторных занятий.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С 2016 года для качественной подготовки учащихся к мероприятиям Российской научно-социальной программы научной молодежи «Шаг в будущее» </w:t>
      </w:r>
      <w:r w:rsidRPr="007A1D9E">
        <w:rPr>
          <w:szCs w:val="28"/>
        </w:rPr>
        <w:br/>
        <w:t xml:space="preserve">в муниципальной системе образования реализуется комплекс мер </w:t>
      </w:r>
      <w:r>
        <w:rPr>
          <w:szCs w:val="28"/>
        </w:rPr>
        <w:br/>
      </w:r>
      <w:r w:rsidRPr="007A1D9E">
        <w:rPr>
          <w:szCs w:val="28"/>
        </w:rPr>
        <w:t xml:space="preserve">по направлениям: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- подготовка к городской конференции молодых исследователей через систему </w:t>
      </w:r>
      <w:proofErr w:type="gramStart"/>
      <w:r w:rsidRPr="007A1D9E">
        <w:rPr>
          <w:szCs w:val="28"/>
        </w:rPr>
        <w:t>он-</w:t>
      </w:r>
      <w:proofErr w:type="spellStart"/>
      <w:r w:rsidRPr="007A1D9E">
        <w:rPr>
          <w:szCs w:val="28"/>
        </w:rPr>
        <w:t>лайн</w:t>
      </w:r>
      <w:proofErr w:type="spellEnd"/>
      <w:proofErr w:type="gramEnd"/>
      <w:r w:rsidRPr="007A1D9E">
        <w:rPr>
          <w:szCs w:val="28"/>
        </w:rPr>
        <w:t xml:space="preserve"> консультаций, встреч с членами жюри и представителями </w:t>
      </w:r>
      <w:r w:rsidRPr="007A1D9E">
        <w:rPr>
          <w:szCs w:val="28"/>
        </w:rPr>
        <w:lastRenderedPageBreak/>
        <w:t>внешних социальных партнеров по теме исследования учащихся (в течение года);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- индивидуальная подготовка учащихся к окружной конференции </w:t>
      </w:r>
      <w:r w:rsidRPr="007A1D9E">
        <w:rPr>
          <w:szCs w:val="28"/>
        </w:rPr>
        <w:br/>
        <w:t>и Всероссийскому форуму.</w:t>
      </w:r>
    </w:p>
    <w:p w:rsidR="00F43B18" w:rsidRPr="007A1D9E" w:rsidRDefault="00F43B18" w:rsidP="00F43B18">
      <w:pPr>
        <w:ind w:firstLine="567"/>
        <w:jc w:val="both"/>
        <w:rPr>
          <w:spacing w:val="-4"/>
          <w:szCs w:val="28"/>
        </w:rPr>
      </w:pPr>
      <w:r w:rsidRPr="007A1D9E">
        <w:rPr>
          <w:spacing w:val="-4"/>
          <w:szCs w:val="28"/>
        </w:rPr>
        <w:t xml:space="preserve">Большое внимание в городе уделяется развитию системы конкурсных мероприятий, которые являются для обучающихся стартовой площадкой для предъявления своих способностей, </w:t>
      </w:r>
      <w:r w:rsidRPr="007A1D9E">
        <w:rPr>
          <w:szCs w:val="28"/>
          <w:shd w:val="clear" w:color="auto" w:fill="FFFFFF"/>
        </w:rPr>
        <w:t xml:space="preserve">результатов и достижений в </w:t>
      </w:r>
      <w:r w:rsidRPr="007A1D9E">
        <w:rPr>
          <w:bCs/>
          <w:iCs/>
          <w:szCs w:val="28"/>
          <w:shd w:val="clear" w:color="auto" w:fill="FFFFFF"/>
        </w:rPr>
        <w:t>образовании.</w:t>
      </w:r>
      <w:r w:rsidRPr="007A1D9E">
        <w:rPr>
          <w:bCs/>
          <w:i/>
          <w:iCs/>
          <w:szCs w:val="28"/>
          <w:shd w:val="clear" w:color="auto" w:fill="FFFFFF"/>
        </w:rPr>
        <w:t xml:space="preserve"> </w:t>
      </w:r>
      <w:r w:rsidRPr="007A1D9E">
        <w:rPr>
          <w:spacing w:val="-4"/>
          <w:szCs w:val="28"/>
        </w:rPr>
        <w:t xml:space="preserve">Способности детей выявляются на публичных интеллектуальных конкурсах </w:t>
      </w:r>
      <w:r w:rsidRPr="007A1D9E">
        <w:rPr>
          <w:spacing w:val="-4"/>
          <w:szCs w:val="28"/>
        </w:rPr>
        <w:br/>
        <w:t>с рейтинговой оценкой результатов, конференциях, олимпиадах, турнирах, выставках, с учетом индивидуальных особенностей и различий одаренных (талантливых) детей. Перечень конкурсных мероприятий включен в календарный план городских мероприятий на текущий год и утвержден постановлением Администрации города.</w:t>
      </w:r>
    </w:p>
    <w:p w:rsidR="00F43B18" w:rsidRPr="007A1D9E" w:rsidRDefault="00F43B18" w:rsidP="00F43B18">
      <w:pPr>
        <w:shd w:val="clear" w:color="auto" w:fill="FFFFFF"/>
        <w:tabs>
          <w:tab w:val="left" w:pos="284"/>
        </w:tabs>
        <w:ind w:firstLine="567"/>
        <w:contextualSpacing/>
        <w:jc w:val="both"/>
        <w:rPr>
          <w:rFonts w:eastAsia="Calibri"/>
          <w:color w:val="000000" w:themeColor="text1"/>
          <w:szCs w:val="28"/>
          <w:lang w:eastAsia="en-US"/>
        </w:rPr>
      </w:pPr>
      <w:r w:rsidRPr="007A1D9E">
        <w:rPr>
          <w:rFonts w:eastAsia="Calibri"/>
          <w:color w:val="000000" w:themeColor="text1"/>
          <w:szCs w:val="28"/>
          <w:lang w:eastAsia="en-US"/>
        </w:rPr>
        <w:t xml:space="preserve">Стабильно высокие результаты участия школьников на различных уровнях свидетельствуют о наличии эффективной системы сопровождения учащихся </w:t>
      </w:r>
      <w:r w:rsidRPr="007A1D9E">
        <w:rPr>
          <w:rFonts w:eastAsia="Calibri"/>
          <w:color w:val="000000" w:themeColor="text1"/>
          <w:szCs w:val="28"/>
          <w:lang w:eastAsia="en-US"/>
        </w:rPr>
        <w:br/>
        <w:t>по данному направлению.</w:t>
      </w:r>
    </w:p>
    <w:p w:rsidR="00F43B18" w:rsidRPr="007A1D9E" w:rsidRDefault="00F43B18" w:rsidP="00F43B18">
      <w:pPr>
        <w:ind w:firstLine="567"/>
        <w:jc w:val="both"/>
        <w:rPr>
          <w:spacing w:val="-4"/>
          <w:szCs w:val="28"/>
        </w:rPr>
      </w:pPr>
      <w:r w:rsidRPr="007A1D9E">
        <w:rPr>
          <w:spacing w:val="-4"/>
          <w:szCs w:val="28"/>
        </w:rPr>
        <w:t xml:space="preserve">1. В ноябре 2017 года 13 обучающихся 9 образовательных организаций города Сургута представили научно-исследовательские работы на </w:t>
      </w:r>
      <w:r w:rsidRPr="007A1D9E">
        <w:rPr>
          <w:spacing w:val="-4"/>
          <w:szCs w:val="28"/>
          <w:lang w:val="en-US"/>
        </w:rPr>
        <w:t>XXII</w:t>
      </w:r>
      <w:r w:rsidRPr="007A1D9E">
        <w:rPr>
          <w:spacing w:val="-4"/>
          <w:szCs w:val="28"/>
        </w:rPr>
        <w:t xml:space="preserve"> окружной конференции молодых исследователей «Шаг в будущее» в г. Ханты-Мансийске.</w:t>
      </w:r>
    </w:p>
    <w:p w:rsidR="00F43B18" w:rsidRPr="007A1D9E" w:rsidRDefault="00F43B18" w:rsidP="00F43B18">
      <w:pPr>
        <w:ind w:firstLine="567"/>
        <w:jc w:val="both"/>
        <w:rPr>
          <w:color w:val="000000" w:themeColor="text1"/>
          <w:szCs w:val="28"/>
        </w:rPr>
      </w:pPr>
      <w:r w:rsidRPr="007A1D9E">
        <w:rPr>
          <w:color w:val="000000" w:themeColor="text1"/>
          <w:szCs w:val="28"/>
        </w:rPr>
        <w:t>По итогам работы экспертной комиссии команда города Сургута заняла семь</w:t>
      </w:r>
      <w:r w:rsidRPr="00B25016">
        <w:rPr>
          <w:color w:val="000000" w:themeColor="text1"/>
          <w:szCs w:val="28"/>
        </w:rPr>
        <w:t xml:space="preserve"> призовых мест</w:t>
      </w:r>
      <w:r w:rsidRPr="007A1D9E">
        <w:rPr>
          <w:color w:val="000000" w:themeColor="text1"/>
          <w:szCs w:val="28"/>
        </w:rPr>
        <w:t xml:space="preserve"> и 2 специальных приза.</w:t>
      </w:r>
    </w:p>
    <w:p w:rsidR="00F43B18" w:rsidRPr="007A1D9E" w:rsidRDefault="00F43B18" w:rsidP="00F43B18">
      <w:pPr>
        <w:ind w:firstLine="567"/>
        <w:jc w:val="both"/>
        <w:rPr>
          <w:b/>
          <w:szCs w:val="28"/>
        </w:rPr>
      </w:pPr>
      <w:r w:rsidRPr="007A1D9E">
        <w:rPr>
          <w:spacing w:val="-4"/>
          <w:szCs w:val="28"/>
        </w:rPr>
        <w:t xml:space="preserve">2. В 2017 году </w:t>
      </w:r>
      <w:r w:rsidRPr="007A1D9E">
        <w:rPr>
          <w:szCs w:val="28"/>
        </w:rPr>
        <w:t xml:space="preserve">во Всероссийском форуме </w:t>
      </w:r>
      <w:r w:rsidRPr="007A1D9E">
        <w:rPr>
          <w:spacing w:val="-4"/>
          <w:szCs w:val="28"/>
        </w:rPr>
        <w:t xml:space="preserve">«Шаг в будущее» в Москве </w:t>
      </w:r>
      <w:r>
        <w:rPr>
          <w:spacing w:val="-4"/>
          <w:szCs w:val="28"/>
        </w:rPr>
        <w:t xml:space="preserve">город </w:t>
      </w:r>
      <w:r w:rsidRPr="007A1D9E">
        <w:rPr>
          <w:spacing w:val="-4"/>
          <w:szCs w:val="28"/>
        </w:rPr>
        <w:t xml:space="preserve">Сургут представили 20 учащихся из 11 образовательных учреждений. </w:t>
      </w:r>
      <w:r w:rsidRPr="007A1D9E">
        <w:rPr>
          <w:bCs/>
          <w:szCs w:val="28"/>
          <w:bdr w:val="none" w:sz="0" w:space="0" w:color="auto" w:frame="1"/>
        </w:rPr>
        <w:t xml:space="preserve">По итогам работы симпозиумов форума </w:t>
      </w:r>
      <w:proofErr w:type="spellStart"/>
      <w:r w:rsidRPr="007A1D9E">
        <w:rPr>
          <w:bCs/>
          <w:szCs w:val="28"/>
          <w:bdr w:val="none" w:sz="0" w:space="0" w:color="auto" w:frame="1"/>
        </w:rPr>
        <w:t>сургутская</w:t>
      </w:r>
      <w:proofErr w:type="spellEnd"/>
      <w:r w:rsidRPr="007A1D9E">
        <w:rPr>
          <w:bCs/>
          <w:szCs w:val="28"/>
          <w:bdr w:val="none" w:sz="0" w:space="0" w:color="auto" w:frame="1"/>
        </w:rPr>
        <w:t xml:space="preserve"> команда принесла городу 11 побед: </w:t>
      </w:r>
      <w:r>
        <w:rPr>
          <w:bCs/>
          <w:szCs w:val="28"/>
          <w:bdr w:val="none" w:sz="0" w:space="0" w:color="auto" w:frame="1"/>
        </w:rPr>
        <w:br/>
      </w:r>
      <w:r w:rsidRPr="007A1D9E">
        <w:rPr>
          <w:bCs/>
          <w:szCs w:val="28"/>
          <w:bdr w:val="none" w:sz="0" w:space="0" w:color="auto" w:frame="1"/>
        </w:rPr>
        <w:t xml:space="preserve">9 призовых мест и 2 специальных приза.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>
        <w:rPr>
          <w:szCs w:val="28"/>
        </w:rPr>
        <w:t>3. В апреле 2017 года команда</w:t>
      </w:r>
      <w:r w:rsidRPr="007A1D9E">
        <w:rPr>
          <w:szCs w:val="28"/>
        </w:rPr>
        <w:t xml:space="preserve"> обучающихся 4-7 классов обра</w:t>
      </w:r>
      <w:r>
        <w:rPr>
          <w:szCs w:val="28"/>
        </w:rPr>
        <w:t xml:space="preserve">зовательных учреждений города </w:t>
      </w:r>
      <w:r w:rsidRPr="007A1D9E">
        <w:rPr>
          <w:szCs w:val="28"/>
        </w:rPr>
        <w:t>приняла участие в XV Российском соревновании-выставке юных исследователей «Шаг в будущее. Юниор». По итогам соревнования команда обучающихся Сургута заняла 4 призовых места и 1 получила специальный приз.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>4. В феврале 2017 года в третий раз для воспитанников дошкольных образовательных учреждений прошел</w:t>
      </w:r>
      <w:r>
        <w:rPr>
          <w:szCs w:val="28"/>
        </w:rPr>
        <w:t xml:space="preserve"> региональный </w:t>
      </w:r>
      <w:r w:rsidRPr="007A1D9E">
        <w:rPr>
          <w:szCs w:val="28"/>
        </w:rPr>
        <w:t xml:space="preserve">этап всероссийских соревнований по образовательной робототехнике </w:t>
      </w:r>
      <w:proofErr w:type="spellStart"/>
      <w:r w:rsidRPr="007A1D9E">
        <w:rPr>
          <w:szCs w:val="28"/>
        </w:rPr>
        <w:t>ИКаРёнок</w:t>
      </w:r>
      <w:proofErr w:type="spellEnd"/>
      <w:r w:rsidRPr="007A1D9E">
        <w:rPr>
          <w:szCs w:val="28"/>
        </w:rPr>
        <w:t xml:space="preserve"> – 2017. </w:t>
      </w:r>
      <w:r w:rsidRPr="007A1D9E">
        <w:rPr>
          <w:szCs w:val="28"/>
        </w:rPr>
        <w:br/>
        <w:t xml:space="preserve">В соревнованиях приняли участие 20 воспитанников из 10 дошкольных образовательных организаций ХМАО – Югры. (г. Сургут, </w:t>
      </w:r>
      <w:proofErr w:type="spellStart"/>
      <w:r w:rsidRPr="007A1D9E">
        <w:rPr>
          <w:szCs w:val="28"/>
        </w:rPr>
        <w:t>п.г.т</w:t>
      </w:r>
      <w:proofErr w:type="spellEnd"/>
      <w:r w:rsidRPr="007A1D9E">
        <w:rPr>
          <w:szCs w:val="28"/>
        </w:rPr>
        <w:t xml:space="preserve">. </w:t>
      </w:r>
      <w:proofErr w:type="spellStart"/>
      <w:r w:rsidRPr="007A1D9E">
        <w:rPr>
          <w:szCs w:val="28"/>
        </w:rPr>
        <w:t>Пойковский</w:t>
      </w:r>
      <w:proofErr w:type="spellEnd"/>
      <w:r w:rsidRPr="007A1D9E">
        <w:rPr>
          <w:szCs w:val="28"/>
        </w:rPr>
        <w:t xml:space="preserve">, </w:t>
      </w:r>
      <w:r>
        <w:rPr>
          <w:szCs w:val="28"/>
        </w:rPr>
        <w:br/>
      </w:r>
      <w:r w:rsidRPr="007A1D9E">
        <w:rPr>
          <w:szCs w:val="28"/>
        </w:rPr>
        <w:t>г.</w:t>
      </w:r>
      <w:r>
        <w:rPr>
          <w:szCs w:val="28"/>
        </w:rPr>
        <w:t xml:space="preserve"> </w:t>
      </w:r>
      <w:proofErr w:type="spellStart"/>
      <w:r w:rsidRPr="007A1D9E">
        <w:rPr>
          <w:szCs w:val="28"/>
        </w:rPr>
        <w:t>Лянтор</w:t>
      </w:r>
      <w:proofErr w:type="spellEnd"/>
      <w:r w:rsidRPr="007A1D9E">
        <w:rPr>
          <w:szCs w:val="28"/>
        </w:rPr>
        <w:t>). 1 место и право участие во Всероссийских соревнованиях «</w:t>
      </w:r>
      <w:proofErr w:type="spellStart"/>
      <w:r w:rsidRPr="007A1D9E">
        <w:rPr>
          <w:szCs w:val="28"/>
        </w:rPr>
        <w:t>ИКаРёнок</w:t>
      </w:r>
      <w:proofErr w:type="spellEnd"/>
      <w:r w:rsidRPr="007A1D9E">
        <w:rPr>
          <w:szCs w:val="28"/>
        </w:rPr>
        <w:t xml:space="preserve"> </w:t>
      </w:r>
      <w:r>
        <w:rPr>
          <w:szCs w:val="28"/>
        </w:rPr>
        <w:t>–</w:t>
      </w:r>
      <w:r w:rsidRPr="007A1D9E">
        <w:rPr>
          <w:szCs w:val="28"/>
        </w:rPr>
        <w:t>2017» получила команда города Сургута – МБДОУ детский сад № 61 «Лель».</w:t>
      </w:r>
    </w:p>
    <w:p w:rsidR="00F43B18" w:rsidRPr="007A1D9E" w:rsidRDefault="00F43B18" w:rsidP="00F43B18">
      <w:pPr>
        <w:tabs>
          <w:tab w:val="left" w:pos="0"/>
        </w:tabs>
        <w:ind w:firstLine="567"/>
        <w:jc w:val="both"/>
        <w:rPr>
          <w:szCs w:val="28"/>
        </w:rPr>
      </w:pPr>
      <w:r w:rsidRPr="007A1D9E">
        <w:rPr>
          <w:szCs w:val="28"/>
          <w:shd w:val="clear" w:color="auto" w:fill="FFFFFF"/>
        </w:rPr>
        <w:t xml:space="preserve">5. </w:t>
      </w:r>
      <w:r w:rsidRPr="007A1D9E">
        <w:rPr>
          <w:bCs/>
          <w:szCs w:val="28"/>
          <w:shd w:val="clear" w:color="auto" w:fill="FFFFFF"/>
        </w:rPr>
        <w:t>В марте 2017 года на IX Всероссийском робототехническом фестивале «</w:t>
      </w:r>
      <w:proofErr w:type="spellStart"/>
      <w:r w:rsidRPr="007A1D9E">
        <w:rPr>
          <w:bCs/>
          <w:szCs w:val="28"/>
          <w:shd w:val="clear" w:color="auto" w:fill="FFFFFF"/>
        </w:rPr>
        <w:t>РобоФест</w:t>
      </w:r>
      <w:proofErr w:type="spellEnd"/>
      <w:r w:rsidRPr="007A1D9E">
        <w:rPr>
          <w:bCs/>
          <w:szCs w:val="28"/>
          <w:shd w:val="clear" w:color="auto" w:fill="FFFFFF"/>
        </w:rPr>
        <w:t>» (г. Москва) команда обучающихся города Сургута заняла 6 призовых мест.</w:t>
      </w:r>
    </w:p>
    <w:p w:rsidR="00F43B18" w:rsidRPr="007A1D9E" w:rsidRDefault="00F43B18" w:rsidP="00F43B18">
      <w:pPr>
        <w:tabs>
          <w:tab w:val="left" w:pos="0"/>
        </w:tabs>
        <w:ind w:firstLine="567"/>
        <w:jc w:val="both"/>
        <w:rPr>
          <w:color w:val="000000"/>
          <w:szCs w:val="28"/>
          <w:shd w:val="clear" w:color="auto" w:fill="FFFFFF"/>
        </w:rPr>
      </w:pPr>
      <w:r w:rsidRPr="007A1D9E">
        <w:rPr>
          <w:color w:val="000000"/>
          <w:szCs w:val="28"/>
        </w:rPr>
        <w:t xml:space="preserve">По результатам соревнований победители из МБОУ Сургутский естественно-научный лицей </w:t>
      </w:r>
      <w:r w:rsidRPr="007A1D9E">
        <w:rPr>
          <w:color w:val="000000"/>
          <w:szCs w:val="28"/>
          <w:shd w:val="clear" w:color="auto" w:fill="FFFFFF"/>
        </w:rPr>
        <w:t xml:space="preserve">– ученик 6в класса Попов Александр и ученик 7а класса </w:t>
      </w:r>
      <w:proofErr w:type="spellStart"/>
      <w:r w:rsidRPr="007A1D9E">
        <w:rPr>
          <w:color w:val="000000"/>
          <w:szCs w:val="28"/>
          <w:shd w:val="clear" w:color="auto" w:fill="FFFFFF"/>
        </w:rPr>
        <w:t>Постолов</w:t>
      </w:r>
      <w:proofErr w:type="spellEnd"/>
      <w:r w:rsidRPr="007A1D9E">
        <w:rPr>
          <w:color w:val="000000"/>
          <w:szCs w:val="28"/>
          <w:shd w:val="clear" w:color="auto" w:fill="FFFFFF"/>
        </w:rPr>
        <w:t xml:space="preserve"> Святослав</w:t>
      </w:r>
      <w:r w:rsidRPr="007A1D9E">
        <w:rPr>
          <w:color w:val="000000"/>
          <w:szCs w:val="28"/>
        </w:rPr>
        <w:t xml:space="preserve"> были приглашены представлять Российскую Федерацию </w:t>
      </w:r>
      <w:r w:rsidRPr="007A1D9E">
        <w:rPr>
          <w:color w:val="000000"/>
          <w:szCs w:val="28"/>
          <w:shd w:val="clear" w:color="auto" w:fill="FFFFFF"/>
        </w:rPr>
        <w:t xml:space="preserve">на Всемирных соревнованиях по робототехнике VEX </w:t>
      </w:r>
      <w:proofErr w:type="spellStart"/>
      <w:r w:rsidRPr="007A1D9E">
        <w:rPr>
          <w:color w:val="000000"/>
          <w:szCs w:val="28"/>
          <w:shd w:val="clear" w:color="auto" w:fill="FFFFFF"/>
        </w:rPr>
        <w:t>Robotics</w:t>
      </w:r>
      <w:proofErr w:type="spellEnd"/>
      <w:r w:rsidRPr="007A1D9E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7A1D9E">
        <w:rPr>
          <w:color w:val="000000"/>
          <w:szCs w:val="28"/>
          <w:shd w:val="clear" w:color="auto" w:fill="FFFFFF"/>
        </w:rPr>
        <w:t>World</w:t>
      </w:r>
      <w:proofErr w:type="spellEnd"/>
      <w:r w:rsidRPr="007A1D9E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7A1D9E">
        <w:rPr>
          <w:color w:val="000000"/>
          <w:szCs w:val="28"/>
          <w:shd w:val="clear" w:color="auto" w:fill="FFFFFF"/>
        </w:rPr>
        <w:lastRenderedPageBreak/>
        <w:t>Championships</w:t>
      </w:r>
      <w:proofErr w:type="spellEnd"/>
      <w:r w:rsidRPr="007A1D9E">
        <w:rPr>
          <w:color w:val="000000"/>
          <w:szCs w:val="28"/>
          <w:shd w:val="clear" w:color="auto" w:fill="FFFFFF"/>
        </w:rPr>
        <w:t xml:space="preserve">, которые прошли в апреле в г. </w:t>
      </w:r>
      <w:proofErr w:type="spellStart"/>
      <w:r w:rsidRPr="007A1D9E">
        <w:rPr>
          <w:color w:val="000000"/>
          <w:szCs w:val="28"/>
          <w:shd w:val="clear" w:color="auto" w:fill="FFFFFF"/>
        </w:rPr>
        <w:t>Луисвилль</w:t>
      </w:r>
      <w:proofErr w:type="spellEnd"/>
      <w:r w:rsidRPr="007A1D9E">
        <w:rPr>
          <w:color w:val="000000"/>
          <w:szCs w:val="28"/>
          <w:shd w:val="clear" w:color="auto" w:fill="FFFFFF"/>
        </w:rPr>
        <w:t xml:space="preserve"> (США). </w:t>
      </w:r>
      <w:proofErr w:type="spellStart"/>
      <w:r w:rsidRPr="007A1D9E">
        <w:rPr>
          <w:color w:val="000000"/>
          <w:szCs w:val="28"/>
          <w:shd w:val="clear" w:color="auto" w:fill="FFFFFF"/>
        </w:rPr>
        <w:t>Сургутские</w:t>
      </w:r>
      <w:proofErr w:type="spellEnd"/>
      <w:r w:rsidRPr="007A1D9E">
        <w:rPr>
          <w:color w:val="000000"/>
          <w:szCs w:val="28"/>
          <w:shd w:val="clear" w:color="auto" w:fill="FFFFFF"/>
        </w:rPr>
        <w:t xml:space="preserve"> изобретатели были в числе 306 команд из 40 стран мира, представленных </w:t>
      </w:r>
      <w:r>
        <w:rPr>
          <w:color w:val="000000"/>
          <w:szCs w:val="28"/>
          <w:shd w:val="clear" w:color="auto" w:fill="FFFFFF"/>
        </w:rPr>
        <w:br/>
      </w:r>
      <w:r w:rsidRPr="007A1D9E">
        <w:rPr>
          <w:color w:val="000000"/>
          <w:szCs w:val="28"/>
          <w:shd w:val="clear" w:color="auto" w:fill="FFFFFF"/>
        </w:rPr>
        <w:t xml:space="preserve">в данной номинации. По итогам соревнований </w:t>
      </w:r>
      <w:proofErr w:type="spellStart"/>
      <w:r w:rsidRPr="007A1D9E">
        <w:rPr>
          <w:color w:val="000000"/>
          <w:szCs w:val="28"/>
          <w:shd w:val="clear" w:color="auto" w:fill="FFFFFF"/>
        </w:rPr>
        <w:t>сургутская</w:t>
      </w:r>
      <w:proofErr w:type="spellEnd"/>
      <w:r w:rsidRPr="007A1D9E">
        <w:rPr>
          <w:color w:val="000000"/>
          <w:szCs w:val="28"/>
          <w:shd w:val="clear" w:color="auto" w:fill="FFFFFF"/>
        </w:rPr>
        <w:t xml:space="preserve"> команда завоевала 29 место.</w:t>
      </w:r>
    </w:p>
    <w:p w:rsidR="00F43B18" w:rsidRPr="007A1D9E" w:rsidRDefault="00F43B18" w:rsidP="00F43B18">
      <w:pPr>
        <w:tabs>
          <w:tab w:val="left" w:pos="0"/>
        </w:tabs>
        <w:ind w:firstLine="567"/>
        <w:jc w:val="both"/>
        <w:rPr>
          <w:color w:val="000000"/>
          <w:szCs w:val="28"/>
          <w:shd w:val="clear" w:color="auto" w:fill="FFFFFF"/>
        </w:rPr>
      </w:pPr>
      <w:r w:rsidRPr="007A1D9E">
        <w:rPr>
          <w:color w:val="000000"/>
          <w:szCs w:val="28"/>
          <w:shd w:val="clear" w:color="auto" w:fill="FFFFFF"/>
        </w:rPr>
        <w:t xml:space="preserve">6. </w:t>
      </w:r>
      <w:r w:rsidRPr="007A1D9E">
        <w:rPr>
          <w:szCs w:val="28"/>
        </w:rPr>
        <w:t xml:space="preserve">В 2016/17 учебном году в региональном этапе всероссийской олимпиады школьников приняли участие 186 учащихся из 29 образовательных организаций города Сургута, 47 участников регионального этапа приняли участие в двух </w:t>
      </w:r>
      <w:r>
        <w:rPr>
          <w:szCs w:val="28"/>
        </w:rPr>
        <w:br/>
      </w:r>
      <w:r w:rsidRPr="007A1D9E">
        <w:rPr>
          <w:szCs w:val="28"/>
        </w:rPr>
        <w:t xml:space="preserve">и более олимпиадах по общеобразовательным предметам. </w:t>
      </w:r>
    </w:p>
    <w:p w:rsidR="00F43B18" w:rsidRPr="007A1D9E" w:rsidRDefault="00F43B18" w:rsidP="00F43B18">
      <w:pPr>
        <w:shd w:val="clear" w:color="auto" w:fill="FFFFFF"/>
        <w:suppressAutoHyphens/>
        <w:ind w:firstLine="567"/>
        <w:jc w:val="both"/>
        <w:rPr>
          <w:szCs w:val="28"/>
        </w:rPr>
      </w:pPr>
      <w:r w:rsidRPr="007A1D9E">
        <w:rPr>
          <w:szCs w:val="28"/>
        </w:rPr>
        <w:t xml:space="preserve">25 </w:t>
      </w:r>
      <w:proofErr w:type="spellStart"/>
      <w:r w:rsidRPr="007A1D9E">
        <w:rPr>
          <w:szCs w:val="28"/>
        </w:rPr>
        <w:t>сургутских</w:t>
      </w:r>
      <w:proofErr w:type="spellEnd"/>
      <w:r w:rsidRPr="007A1D9E">
        <w:rPr>
          <w:szCs w:val="28"/>
        </w:rPr>
        <w:t xml:space="preserve"> школьников заняли 33 призовых места в региональном этапе </w:t>
      </w:r>
      <w:r w:rsidRPr="007A1D9E">
        <w:rPr>
          <w:szCs w:val="28"/>
        </w:rPr>
        <w:br/>
        <w:t>по английскому и русскому языкам, биологии, географии, истории, литературе, основам безопасности жизнедеятельности, химии, астрономии, информатике, искусству, математике, обществознанию, технологии, физике, экологии.</w:t>
      </w:r>
    </w:p>
    <w:p w:rsidR="00F43B18" w:rsidRPr="007A1D9E" w:rsidRDefault="00F43B18" w:rsidP="00F43B18">
      <w:pPr>
        <w:suppressAutoHyphens/>
        <w:ind w:firstLine="567"/>
        <w:contextualSpacing/>
        <w:jc w:val="both"/>
        <w:rPr>
          <w:szCs w:val="28"/>
        </w:rPr>
      </w:pPr>
      <w:r w:rsidRPr="007A1D9E">
        <w:rPr>
          <w:szCs w:val="28"/>
        </w:rPr>
        <w:t xml:space="preserve">7. В заключительном этапе всероссийской олимпиады школьников приняли участие 7 учащихся города Сургута, двое заняли призовые места по истории </w:t>
      </w:r>
      <w:r w:rsidRPr="007A1D9E">
        <w:rPr>
          <w:szCs w:val="28"/>
        </w:rPr>
        <w:br/>
        <w:t>и литературе.</w:t>
      </w:r>
    </w:p>
    <w:p w:rsidR="00F43B18" w:rsidRPr="007A1D9E" w:rsidRDefault="00F43B18" w:rsidP="00F43B18">
      <w:pPr>
        <w:tabs>
          <w:tab w:val="left" w:pos="0"/>
        </w:tabs>
        <w:ind w:firstLine="567"/>
        <w:jc w:val="both"/>
        <w:rPr>
          <w:szCs w:val="28"/>
        </w:rPr>
      </w:pPr>
      <w:r w:rsidRPr="007A1D9E">
        <w:rPr>
          <w:szCs w:val="28"/>
        </w:rPr>
        <w:t>8. В апреле 2017 года 3 школьника приняли участие в региональном этапе Всероссийского конкурса юных чтецов «Живая классика». Учащаяся МБОУ средней школы № 31 заняла 2 призовое место.</w:t>
      </w:r>
    </w:p>
    <w:p w:rsidR="00F43B18" w:rsidRPr="007A1D9E" w:rsidRDefault="00F43B18" w:rsidP="0075060E">
      <w:pPr>
        <w:tabs>
          <w:tab w:val="left" w:pos="0"/>
        </w:tabs>
        <w:ind w:firstLine="567"/>
        <w:jc w:val="both"/>
        <w:rPr>
          <w:szCs w:val="28"/>
        </w:rPr>
      </w:pPr>
      <w:r w:rsidRPr="007A1D9E">
        <w:rPr>
          <w:szCs w:val="28"/>
        </w:rPr>
        <w:t xml:space="preserve">9. В феврале – марте 2017 </w:t>
      </w:r>
      <w:proofErr w:type="gramStart"/>
      <w:r w:rsidRPr="007A1D9E">
        <w:rPr>
          <w:szCs w:val="28"/>
        </w:rPr>
        <w:t>года</w:t>
      </w:r>
      <w:proofErr w:type="gramEnd"/>
      <w:r w:rsidRPr="007A1D9E">
        <w:rPr>
          <w:szCs w:val="28"/>
        </w:rPr>
        <w:t xml:space="preserve"> обучающиеся 9 общеобразовательных организаций города приняли участие в </w:t>
      </w:r>
      <w:r w:rsidRPr="007A1D9E">
        <w:rPr>
          <w:bCs/>
          <w:szCs w:val="28"/>
          <w:shd w:val="clear" w:color="auto" w:fill="FFFFFF"/>
        </w:rPr>
        <w:t xml:space="preserve">Региональном заочном этапе конкурса исследовательских, творческих работ учащихся «Я живу в России, я живу </w:t>
      </w:r>
      <w:r w:rsidR="0075060E">
        <w:rPr>
          <w:bCs/>
          <w:szCs w:val="28"/>
          <w:shd w:val="clear" w:color="auto" w:fill="FFFFFF"/>
        </w:rPr>
        <w:br/>
      </w:r>
      <w:r w:rsidRPr="007A1D9E">
        <w:rPr>
          <w:bCs/>
          <w:szCs w:val="28"/>
          <w:shd w:val="clear" w:color="auto" w:fill="FFFFFF"/>
        </w:rPr>
        <w:t>в Югре»</w:t>
      </w:r>
      <w:r w:rsidRPr="007A1D9E">
        <w:rPr>
          <w:szCs w:val="28"/>
        </w:rPr>
        <w:t xml:space="preserve"> и заняли 5 призовых мест.</w:t>
      </w:r>
    </w:p>
    <w:p w:rsidR="00F43B18" w:rsidRPr="007A1D9E" w:rsidRDefault="00F43B18" w:rsidP="00F43B18">
      <w:pPr>
        <w:tabs>
          <w:tab w:val="left" w:pos="0"/>
        </w:tabs>
        <w:ind w:firstLine="567"/>
        <w:jc w:val="both"/>
        <w:rPr>
          <w:szCs w:val="28"/>
        </w:rPr>
      </w:pPr>
      <w:r w:rsidRPr="007A1D9E">
        <w:rPr>
          <w:szCs w:val="28"/>
        </w:rPr>
        <w:t>10. В апреле 2017 года команда учащихся МБОУ СОШ № 32 приняли участие в Окружном турнире по шахматам «Белая ладья» (г.</w:t>
      </w:r>
      <w:r>
        <w:rPr>
          <w:szCs w:val="28"/>
        </w:rPr>
        <w:t xml:space="preserve"> </w:t>
      </w:r>
      <w:r w:rsidRPr="007A1D9E">
        <w:rPr>
          <w:szCs w:val="28"/>
        </w:rPr>
        <w:t>Ханты-Мансийск), заняли 2 место.</w:t>
      </w:r>
    </w:p>
    <w:p w:rsidR="00F43B18" w:rsidRPr="007A1D9E" w:rsidRDefault="00F43B18" w:rsidP="00F43B18">
      <w:pPr>
        <w:tabs>
          <w:tab w:val="left" w:pos="0"/>
        </w:tabs>
        <w:ind w:firstLine="567"/>
        <w:jc w:val="both"/>
        <w:rPr>
          <w:szCs w:val="28"/>
        </w:rPr>
      </w:pPr>
      <w:r w:rsidRPr="007A1D9E">
        <w:rPr>
          <w:szCs w:val="28"/>
        </w:rPr>
        <w:t xml:space="preserve">11. В период с 10 по 14 мая 2017 года состоялся региональный этап Всероссийских спортивных игр школьников «Президентские спортивные игры» среди обучающихся 2000 – 2001 </w:t>
      </w:r>
      <w:proofErr w:type="spellStart"/>
      <w:r w:rsidRPr="007A1D9E">
        <w:rPr>
          <w:szCs w:val="28"/>
        </w:rPr>
        <w:t>гг.р</w:t>
      </w:r>
      <w:proofErr w:type="spellEnd"/>
      <w:r w:rsidRPr="007A1D9E">
        <w:rPr>
          <w:szCs w:val="28"/>
        </w:rPr>
        <w:t xml:space="preserve">., 2002 – 2003 </w:t>
      </w:r>
      <w:proofErr w:type="spellStart"/>
      <w:r w:rsidRPr="007A1D9E">
        <w:rPr>
          <w:szCs w:val="28"/>
        </w:rPr>
        <w:t>гг.р</w:t>
      </w:r>
      <w:proofErr w:type="spellEnd"/>
      <w:r w:rsidRPr="007A1D9E">
        <w:rPr>
          <w:szCs w:val="28"/>
        </w:rPr>
        <w:t xml:space="preserve">. </w:t>
      </w:r>
    </w:p>
    <w:p w:rsidR="00F43B18" w:rsidRPr="007A1D9E" w:rsidRDefault="00F43B18" w:rsidP="00F43B18">
      <w:pPr>
        <w:tabs>
          <w:tab w:val="left" w:pos="0"/>
        </w:tabs>
        <w:ind w:firstLine="567"/>
        <w:jc w:val="both"/>
        <w:rPr>
          <w:szCs w:val="28"/>
        </w:rPr>
      </w:pPr>
      <w:r w:rsidRPr="007A1D9E">
        <w:rPr>
          <w:szCs w:val="28"/>
        </w:rPr>
        <w:t xml:space="preserve">В Президентских спортивных играх среди обучающихся 2000 – 2001 </w:t>
      </w:r>
      <w:proofErr w:type="spellStart"/>
      <w:r w:rsidRPr="007A1D9E">
        <w:rPr>
          <w:szCs w:val="28"/>
        </w:rPr>
        <w:t>гг.р</w:t>
      </w:r>
      <w:proofErr w:type="spellEnd"/>
      <w:r w:rsidRPr="007A1D9E">
        <w:rPr>
          <w:szCs w:val="28"/>
        </w:rPr>
        <w:t>. приняли участие обучающиеся МБОУ СШ № 31. В общекомандном зачете команда города Сургута заняла 1 место.</w:t>
      </w:r>
    </w:p>
    <w:p w:rsidR="00F43B18" w:rsidRPr="007A1D9E" w:rsidRDefault="00F43B18" w:rsidP="00F43B18">
      <w:pPr>
        <w:tabs>
          <w:tab w:val="left" w:pos="0"/>
        </w:tabs>
        <w:ind w:firstLine="567"/>
        <w:jc w:val="both"/>
        <w:rPr>
          <w:szCs w:val="28"/>
        </w:rPr>
      </w:pPr>
      <w:r w:rsidRPr="007A1D9E">
        <w:rPr>
          <w:szCs w:val="28"/>
        </w:rPr>
        <w:t xml:space="preserve">В Президентских спортивных играх среди обучающихся 2002 – 2003 </w:t>
      </w:r>
      <w:proofErr w:type="spellStart"/>
      <w:r w:rsidRPr="007A1D9E">
        <w:rPr>
          <w:szCs w:val="28"/>
        </w:rPr>
        <w:t>гг.р</w:t>
      </w:r>
      <w:proofErr w:type="spellEnd"/>
      <w:r w:rsidRPr="007A1D9E">
        <w:rPr>
          <w:szCs w:val="28"/>
        </w:rPr>
        <w:t>. приняли участие обучающиеся МБОУ СОШ № 45. В общекомандном зачете команда города Сургута заняла 3 место.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С целью поддержки учащихся, достигших высоких результатов </w:t>
      </w:r>
      <w:r w:rsidRPr="007A1D9E">
        <w:rPr>
          <w:szCs w:val="28"/>
        </w:rPr>
        <w:br/>
        <w:t>и их дальнейшей мотивации, в Сургуте существует система поощрения одаренных школьников:</w:t>
      </w:r>
    </w:p>
    <w:p w:rsidR="00F43B18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>- освещение достижений одаренных детей в средствах массовой информации;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- проведение мероприятий, предполагающих чествование победителей </w:t>
      </w:r>
      <w:r w:rsidRPr="007A1D9E">
        <w:rPr>
          <w:szCs w:val="28"/>
        </w:rPr>
        <w:br/>
        <w:t>и призеров</w:t>
      </w:r>
      <w:r>
        <w:rPr>
          <w:szCs w:val="28"/>
        </w:rPr>
        <w:t xml:space="preserve"> </w:t>
      </w:r>
      <w:r w:rsidRPr="007A1D9E">
        <w:rPr>
          <w:szCs w:val="28"/>
        </w:rPr>
        <w:t>(торжественные церемонии и встречи с Главой города, Губернатором округа);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- организация выездных мероприятий общей интеллектуальной направленности («образовательный туризм»), тренинги в рамках </w:t>
      </w:r>
      <w:r w:rsidRPr="007A1D9E">
        <w:rPr>
          <w:szCs w:val="28"/>
        </w:rPr>
        <w:lastRenderedPageBreak/>
        <w:t xml:space="preserve">Всероссийского проекта «Путь к Олимпу» (г. Москва), учебные сессии «Квадрат Декарта» (г. Тюмень), Всероссийский форум «Будущие интеллектуальные лидеры России», профильные смены Образовательного центра «Сириус», научная школа семинар «Академия юных», научная сессия старшеклассников, инженерно-физическая школа «Рысь-2», учебно-научная школа по химии </w:t>
      </w:r>
      <w:r>
        <w:rPr>
          <w:szCs w:val="28"/>
        </w:rPr>
        <w:br/>
      </w:r>
      <w:r w:rsidRPr="007A1D9E">
        <w:rPr>
          <w:szCs w:val="28"/>
        </w:rPr>
        <w:t>(г. Новосибирск), экскурсионно-образовательная поездка «Три ратных поля России» (Тульская, Московская, Белгородская области);</w:t>
      </w:r>
    </w:p>
    <w:p w:rsidR="00F43B18" w:rsidRPr="007A1D9E" w:rsidRDefault="00F43B18" w:rsidP="00F43B18">
      <w:pPr>
        <w:suppressAutoHyphens/>
        <w:ind w:firstLine="567"/>
        <w:jc w:val="both"/>
        <w:rPr>
          <w:szCs w:val="28"/>
        </w:rPr>
      </w:pPr>
      <w:r w:rsidRPr="007A1D9E">
        <w:rPr>
          <w:szCs w:val="28"/>
        </w:rPr>
        <w:t>- выплата денежных поощрений победителям и призерам городских мероприятий из средств муниципального бюджета по результатам конкурсных состязаний (конкурс среди учащихся подведомственных образовательных учреждений по результатам образовательных, творческих, спортивных достижений, достижений в социально-значимой деятельности, муниципальный этап всероссийской олимпиады школьников, городская конференция молодых исследователей «Шаг в будущее»);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>- размещение на городской Доске почета.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В</w:t>
      </w:r>
      <w:r w:rsidRPr="007A1D9E">
        <w:rPr>
          <w:rFonts w:eastAsia="Calibri"/>
          <w:szCs w:val="28"/>
          <w:lang w:eastAsia="en-US"/>
        </w:rPr>
        <w:t xml:space="preserve"> </w:t>
      </w:r>
      <w:r w:rsidRPr="007A1D9E">
        <w:rPr>
          <w:szCs w:val="28"/>
        </w:rPr>
        <w:t xml:space="preserve">целях реализации Концепции общенациональной системы выявления </w:t>
      </w:r>
      <w:r>
        <w:rPr>
          <w:szCs w:val="28"/>
        </w:rPr>
        <w:br/>
      </w:r>
      <w:r w:rsidRPr="007A1D9E">
        <w:rPr>
          <w:szCs w:val="28"/>
        </w:rPr>
        <w:t xml:space="preserve">и развития молодых талантов, для решения задач по созданию условий </w:t>
      </w:r>
      <w:r>
        <w:rPr>
          <w:szCs w:val="28"/>
        </w:rPr>
        <w:br/>
      </w:r>
      <w:r w:rsidRPr="007A1D9E">
        <w:rPr>
          <w:szCs w:val="28"/>
        </w:rPr>
        <w:t xml:space="preserve">для выявления и поддержки одарённых детей, повышения мотивации учащихся к развитию в овладении искусством, творческого роста юных дарований </w:t>
      </w:r>
      <w:r>
        <w:rPr>
          <w:szCs w:val="28"/>
        </w:rPr>
        <w:br/>
      </w:r>
      <w:r w:rsidRPr="007A1D9E">
        <w:rPr>
          <w:szCs w:val="28"/>
        </w:rPr>
        <w:t xml:space="preserve">на муниципальном уровне сформирована система выявления и поддержки одаренных детей, обучающихся в детских школах искусств. Система построена </w:t>
      </w:r>
      <w:r>
        <w:rPr>
          <w:szCs w:val="28"/>
        </w:rPr>
        <w:br/>
      </w:r>
      <w:r w:rsidRPr="007A1D9E">
        <w:rPr>
          <w:szCs w:val="28"/>
        </w:rPr>
        <w:t xml:space="preserve">с учётом специфики предоставления дополнительного образования и развития одарённых детей в области искусств и включающая в себя проведение более 40 мероприятий различных форм в год, в числе которых: конкурсы, фестивали, концерты, выставки, творческие соревнования, мастер-классы и другие.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>Мероприятия по организации работы с одаренными детьми на уровне города являются составной частью муниципальной программы «Развитие культуры и туризма в</w:t>
      </w:r>
      <w:r>
        <w:rPr>
          <w:szCs w:val="28"/>
        </w:rPr>
        <w:t xml:space="preserve"> городе Сургуте на 2014-2030 годы</w:t>
      </w:r>
      <w:r w:rsidRPr="007A1D9E">
        <w:rPr>
          <w:szCs w:val="28"/>
        </w:rPr>
        <w:t xml:space="preserve">», подпрограмма «Дополнительное образование детей в детских школах искусств». Городские творческие мероприятия проводятся по различным специализациям. Среди </w:t>
      </w:r>
      <w:r>
        <w:rPr>
          <w:szCs w:val="28"/>
        </w:rPr>
        <w:t>н</w:t>
      </w:r>
      <w:r w:rsidRPr="007A1D9E">
        <w:rPr>
          <w:szCs w:val="28"/>
        </w:rPr>
        <w:t xml:space="preserve">их: 11 конкурсов городского уровня, с периодичностью 1 раз в 3 года, ежегодно </w:t>
      </w:r>
      <w:r>
        <w:rPr>
          <w:szCs w:val="28"/>
        </w:rPr>
        <w:br/>
      </w:r>
      <w:r w:rsidRPr="007A1D9E">
        <w:rPr>
          <w:szCs w:val="28"/>
        </w:rPr>
        <w:t xml:space="preserve">не менее 10 городских концертов и 10 мастер-классов, 2-х выставок, 3-х фестивалей, в том числе ежегодный отчетный концерт детских школ искусств города, в котором принимают участие лучшие творческие коллективы и солисты, ставшие лауреатами конкурсов в текущем году.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Одним из важных направлений поддержки и развития одарённых детей является организация их участия в выездных конкурсах, фестивалях, творческих школах различного уровня – от окружного до международного.  Из бюджета города ежегодно </w:t>
      </w:r>
      <w:r>
        <w:rPr>
          <w:szCs w:val="28"/>
        </w:rPr>
        <w:t xml:space="preserve">на эти цели выделяется порядка </w:t>
      </w:r>
      <w:r w:rsidRPr="007A1D9E">
        <w:rPr>
          <w:szCs w:val="28"/>
        </w:rPr>
        <w:t xml:space="preserve">1 млн. рублей.  </w:t>
      </w:r>
      <w:r w:rsidR="0075060E" w:rsidRPr="007A1D9E">
        <w:rPr>
          <w:szCs w:val="28"/>
        </w:rPr>
        <w:t>Помимо этого,</w:t>
      </w:r>
      <w:r w:rsidRPr="007A1D9E">
        <w:rPr>
          <w:szCs w:val="28"/>
        </w:rPr>
        <w:t xml:space="preserve"> учреждения</w:t>
      </w:r>
      <w:r>
        <w:rPr>
          <w:szCs w:val="28"/>
        </w:rPr>
        <w:t xml:space="preserve"> </w:t>
      </w:r>
      <w:r w:rsidRPr="007A1D9E">
        <w:rPr>
          <w:szCs w:val="28"/>
        </w:rPr>
        <w:t xml:space="preserve">направляют на эти цели внебюджетные средства, средства родителей и спонсоров. География участия включает города России, стран ближнего и дальнего зарубежья. 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>В целях поощрен</w:t>
      </w:r>
      <w:r>
        <w:rPr>
          <w:szCs w:val="28"/>
        </w:rPr>
        <w:t>ия и поддержки одаренных детей,</w:t>
      </w:r>
      <w:r w:rsidRPr="007A1D9E">
        <w:rPr>
          <w:szCs w:val="28"/>
        </w:rPr>
        <w:t xml:space="preserve"> достигших высоких результаты творческой деятельности на муниципальном уровне ежегодно: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lastRenderedPageBreak/>
        <w:t xml:space="preserve">- проводится городской конкурс лучших учащихся детских школ искусств </w:t>
      </w:r>
      <w:r w:rsidRPr="007A1D9E">
        <w:rPr>
          <w:szCs w:val="28"/>
        </w:rPr>
        <w:br/>
        <w:t xml:space="preserve">по результатам участия в конкурсах различных уровней, в котором ежегодно принимают участие более 100 учащихся; 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- осуществляется выплата двух муниципальных стипендий </w:t>
      </w:r>
      <w:r>
        <w:rPr>
          <w:szCs w:val="28"/>
        </w:rPr>
        <w:br/>
      </w:r>
      <w:r w:rsidRPr="007A1D9E">
        <w:rPr>
          <w:szCs w:val="28"/>
        </w:rPr>
        <w:t xml:space="preserve">им. А.С. Знаменского: «За отличные успехи в учебной деятельности» </w:t>
      </w:r>
      <w:r>
        <w:rPr>
          <w:szCs w:val="28"/>
        </w:rPr>
        <w:t>–</w:t>
      </w:r>
      <w:r w:rsidRPr="007A1D9E">
        <w:rPr>
          <w:szCs w:val="28"/>
        </w:rPr>
        <w:t xml:space="preserve"> каждые полгода 6 учащимся; «За достижения высоких результатов в творческой деятельности» </w:t>
      </w:r>
      <w:r>
        <w:rPr>
          <w:szCs w:val="28"/>
        </w:rPr>
        <w:t>–</w:t>
      </w:r>
      <w:r w:rsidRPr="007A1D9E">
        <w:rPr>
          <w:szCs w:val="28"/>
        </w:rPr>
        <w:t xml:space="preserve"> ежегодно 10 учащимся.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>Успешное развитие ребёнка невозможно без высокого уровня педагогического мастерства и компетенций преподавателя. В целях методического обеспечения деятельности учреждений, обеспечения непрерывного повышения профессиональных компетенций преподавателей детских школ искусств в городе ежегодно проводятся семинары-практикумы, совещани</w:t>
      </w:r>
      <w:r>
        <w:rPr>
          <w:szCs w:val="28"/>
        </w:rPr>
        <w:t xml:space="preserve">я, конференции преподавателей. </w:t>
      </w:r>
      <w:r w:rsidRPr="007A1D9E">
        <w:rPr>
          <w:szCs w:val="28"/>
        </w:rPr>
        <w:t>Один раз в три года проводится конкурс профессионального мастерства преподавателей детских школ искусств «Ступени к мастерству». Мероп</w:t>
      </w:r>
      <w:r>
        <w:rPr>
          <w:szCs w:val="28"/>
        </w:rPr>
        <w:t xml:space="preserve">риятие признано и востребовано </w:t>
      </w:r>
      <w:r w:rsidRPr="007A1D9E">
        <w:rPr>
          <w:szCs w:val="28"/>
        </w:rPr>
        <w:t xml:space="preserve">педагогическим сообществом. Благодаря участию преподавателей </w:t>
      </w:r>
      <w:r>
        <w:rPr>
          <w:szCs w:val="28"/>
        </w:rPr>
        <w:t xml:space="preserve">разных специализаций конкурс </w:t>
      </w:r>
      <w:r w:rsidRPr="007A1D9E">
        <w:rPr>
          <w:szCs w:val="28"/>
        </w:rPr>
        <w:t xml:space="preserve">объединяет всех преподавателей сферы культуры города и выполняет важные задачи по развитию и поддержке кадрового потенциала образовательных учреждений в сфере культуры, повышению социального статуса </w:t>
      </w:r>
      <w:r>
        <w:rPr>
          <w:szCs w:val="28"/>
        </w:rPr>
        <w:br/>
      </w:r>
      <w:r w:rsidRPr="007A1D9E">
        <w:rPr>
          <w:szCs w:val="28"/>
        </w:rPr>
        <w:t xml:space="preserve">и профессионализма преподавателей детских школ искусств, выявлению </w:t>
      </w:r>
      <w:r>
        <w:rPr>
          <w:szCs w:val="28"/>
        </w:rPr>
        <w:br/>
      </w:r>
      <w:r w:rsidRPr="007A1D9E">
        <w:rPr>
          <w:szCs w:val="28"/>
        </w:rPr>
        <w:t xml:space="preserve">и распространению эффективных образцов инновационной педагогической деятельности в области дополнительного образования. 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>По пункту 5.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>
        <w:rPr>
          <w:szCs w:val="28"/>
        </w:rPr>
        <w:t>В</w:t>
      </w:r>
      <w:r w:rsidRPr="007A1D9E">
        <w:rPr>
          <w:szCs w:val="28"/>
        </w:rPr>
        <w:t xml:space="preserve"> рамках реализации Всероссийского физкультурно-спортивного комплекса «Готов к труду и обороне» на территории города Сургута в декабре 2015 года открылся Центр тестирования по выполнению нормативов испытаний (тестов) Всероссийского физкультурно-спортивного комплекса «Готов к труду </w:t>
      </w:r>
      <w:r>
        <w:rPr>
          <w:szCs w:val="28"/>
        </w:rPr>
        <w:br/>
      </w:r>
      <w:r w:rsidRPr="007A1D9E">
        <w:rPr>
          <w:szCs w:val="28"/>
        </w:rPr>
        <w:t xml:space="preserve">и обороне» со штатной численностью 11,5 единиц.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>
        <w:rPr>
          <w:szCs w:val="28"/>
        </w:rPr>
        <w:t>Постановлением Администрации</w:t>
      </w:r>
      <w:r w:rsidRPr="007A1D9E">
        <w:rPr>
          <w:szCs w:val="28"/>
        </w:rPr>
        <w:t xml:space="preserve"> </w:t>
      </w:r>
      <w:r>
        <w:rPr>
          <w:szCs w:val="28"/>
        </w:rPr>
        <w:t xml:space="preserve">города </w:t>
      </w:r>
      <w:r w:rsidRPr="007A1D9E">
        <w:rPr>
          <w:szCs w:val="28"/>
        </w:rPr>
        <w:t xml:space="preserve">от 15.01.2016 № 173 </w:t>
      </w:r>
      <w:r>
        <w:rPr>
          <w:szCs w:val="28"/>
        </w:rPr>
        <w:br/>
      </w:r>
      <w:r w:rsidRPr="007A1D9E">
        <w:rPr>
          <w:szCs w:val="28"/>
        </w:rPr>
        <w:t xml:space="preserve">«Об утверждении перечня мест тестирования населения муниципального образования городской округ город Сургут по выполнению нормативов Всероссийского физкультурно-спортивного комплекса «Готов к труду и обороне (ГТО)» определены 44 места тестирования населения.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С </w:t>
      </w:r>
      <w:r>
        <w:rPr>
          <w:szCs w:val="28"/>
        </w:rPr>
        <w:t>0</w:t>
      </w:r>
      <w:r w:rsidRPr="007A1D9E">
        <w:rPr>
          <w:szCs w:val="28"/>
        </w:rPr>
        <w:t>1</w:t>
      </w:r>
      <w:r>
        <w:rPr>
          <w:szCs w:val="28"/>
        </w:rPr>
        <w:t xml:space="preserve">.01.2016 </w:t>
      </w:r>
      <w:r w:rsidRPr="007A1D9E">
        <w:rPr>
          <w:szCs w:val="28"/>
        </w:rPr>
        <w:t xml:space="preserve">общее количество участников тестирования по видам </w:t>
      </w:r>
      <w:r w:rsidRPr="007A1D9E">
        <w:rPr>
          <w:szCs w:val="28"/>
        </w:rPr>
        <w:br/>
        <w:t>пройденный испытаний среди школьников составило 8361 человек.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По итогам тестирования за 2016 год 989 участникам присвоены золотые, </w:t>
      </w:r>
      <w:r w:rsidRPr="007A1D9E">
        <w:rPr>
          <w:szCs w:val="28"/>
        </w:rPr>
        <w:br/>
        <w:t>серебряные и бронзовые знаки ГТО, в том числе: золото – 158, серебро – 591, бронза – 240.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За первое полугодие 2017 года общее количество участников тестирования </w:t>
      </w:r>
      <w:r w:rsidRPr="007A1D9E">
        <w:rPr>
          <w:szCs w:val="28"/>
        </w:rPr>
        <w:br/>
        <w:t>составило 5862 человека в возрасте от 6 до 70 лет и старше. По итогам тестирования</w:t>
      </w:r>
      <w:r>
        <w:rPr>
          <w:szCs w:val="28"/>
        </w:rPr>
        <w:t xml:space="preserve"> </w:t>
      </w:r>
      <w:r w:rsidRPr="007A1D9E">
        <w:rPr>
          <w:szCs w:val="28"/>
        </w:rPr>
        <w:t>за первое полугодие 2017 года 3259 участникам присвоены золотые, серебряные и бронзовые знаки ГТО, в том числе: золото – 536, серебро – 2174, бронза – 549.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lastRenderedPageBreak/>
        <w:t>На 23.11.2017 выполнили нормативы по обязательным видам комплекса ВФСК ГТО 3710 человек в возрасте от 13 до 70 лет и старше.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К судейству по оценке выполнения испытаний (тестов) ВФСК ГТО привлечены квалифицированные судьи и волонтеры образовательных </w:t>
      </w:r>
      <w:r>
        <w:rPr>
          <w:szCs w:val="28"/>
        </w:rPr>
        <w:br/>
      </w:r>
      <w:r w:rsidRPr="007A1D9E">
        <w:rPr>
          <w:szCs w:val="28"/>
        </w:rPr>
        <w:t>и спортивных учреждений города Сургута.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В 2017 году 38 судей прошли обучение на семинарах и курсах повышения </w:t>
      </w:r>
      <w:r w:rsidRPr="007A1D9E">
        <w:rPr>
          <w:szCs w:val="28"/>
        </w:rPr>
        <w:br/>
        <w:t xml:space="preserve">квалификации.  </w:t>
      </w:r>
    </w:p>
    <w:p w:rsidR="00F43B18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Подготовлен проект постановления Администрации города «О создании </w:t>
      </w:r>
      <w:r w:rsidRPr="007A1D9E">
        <w:rPr>
          <w:szCs w:val="28"/>
        </w:rPr>
        <w:br/>
        <w:t xml:space="preserve">Координационной комиссии и утверждении «дорожной карты» по внедрению </w:t>
      </w:r>
      <w:r w:rsidRPr="007A1D9E">
        <w:rPr>
          <w:szCs w:val="28"/>
        </w:rPr>
        <w:br/>
        <w:t xml:space="preserve">и реализации Всероссийского физкультурно-спортивного комплекса «Готов </w:t>
      </w:r>
      <w:r>
        <w:rPr>
          <w:szCs w:val="28"/>
        </w:rPr>
        <w:br/>
      </w:r>
      <w:r w:rsidRPr="007A1D9E">
        <w:rPr>
          <w:szCs w:val="28"/>
        </w:rPr>
        <w:t xml:space="preserve">к труду и обороне» (ГТО) в муниципальном образовании городской округ город Сургут».  </w:t>
      </w:r>
    </w:p>
    <w:p w:rsidR="00F43B18" w:rsidRPr="007A1D9E" w:rsidRDefault="00F43B18" w:rsidP="00F43B18">
      <w:pPr>
        <w:ind w:firstLine="567"/>
        <w:jc w:val="both"/>
        <w:rPr>
          <w:szCs w:val="28"/>
        </w:rPr>
      </w:pPr>
      <w:r w:rsidRPr="007A1D9E">
        <w:rPr>
          <w:szCs w:val="28"/>
        </w:rPr>
        <w:t xml:space="preserve">Одним из мероприятий «дорожной карты» предполагается определение </w:t>
      </w:r>
      <w:r>
        <w:rPr>
          <w:szCs w:val="28"/>
        </w:rPr>
        <w:br/>
      </w:r>
      <w:r w:rsidRPr="007A1D9E">
        <w:rPr>
          <w:szCs w:val="28"/>
        </w:rPr>
        <w:t xml:space="preserve">и внедрение различных форм поощрения работников учреждений, успешно сдавших тестирование по видам пройденных испытаний. </w:t>
      </w:r>
    </w:p>
    <w:p w:rsidR="00F43B18" w:rsidRPr="007A1D9E" w:rsidRDefault="00F43B18" w:rsidP="00F43B18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Cs w:val="28"/>
        </w:rPr>
      </w:pPr>
      <w:r w:rsidRPr="007A1D9E">
        <w:rPr>
          <w:szCs w:val="28"/>
        </w:rPr>
        <w:t>По пункту 7.</w:t>
      </w:r>
    </w:p>
    <w:p w:rsidR="00F43B18" w:rsidRDefault="00F43B18" w:rsidP="00F43B18">
      <w:pPr>
        <w:shd w:val="clear" w:color="auto" w:fill="FFFFFF"/>
        <w:ind w:firstLine="567"/>
        <w:jc w:val="both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В</w:t>
      </w:r>
      <w:r w:rsidRPr="007A1D9E">
        <w:rPr>
          <w:color w:val="000000"/>
          <w:spacing w:val="-1"/>
          <w:szCs w:val="28"/>
        </w:rPr>
        <w:t xml:space="preserve"> ходе разработки документов территориального планирования в части создания, расширения, реконструкции, модернизации объектов обработки, утилизации, обезвреживания и размещения отходов, муниципальное образование городской округ город Сургут будет руководствоваться «Территориальной схемой обращения с отходами, в том числе с твердыми коммунальными отходами, в Ханты-Мансийском автономном округе – Югре», утверждённой распоряжением Правительства Ханты-Мансийского автономного округа – Югры от 21.10.2016 № 559-рп.</w:t>
      </w:r>
    </w:p>
    <w:p w:rsidR="00E53035" w:rsidRDefault="00E53035" w:rsidP="00014DEE">
      <w:pPr>
        <w:jc w:val="center"/>
        <w:rPr>
          <w:szCs w:val="28"/>
        </w:rPr>
      </w:pPr>
    </w:p>
    <w:p w:rsidR="00014DEE" w:rsidRDefault="00014DEE" w:rsidP="00014DEE">
      <w:pPr>
        <w:jc w:val="center"/>
        <w:rPr>
          <w:szCs w:val="28"/>
        </w:rPr>
      </w:pPr>
      <w:r w:rsidRPr="000F084B">
        <w:rPr>
          <w:szCs w:val="28"/>
        </w:rPr>
        <w:t xml:space="preserve">Информация о реализации </w:t>
      </w:r>
      <w:r>
        <w:rPr>
          <w:szCs w:val="28"/>
        </w:rPr>
        <w:t xml:space="preserve">решений </w:t>
      </w:r>
    </w:p>
    <w:p w:rsidR="00014DEE" w:rsidRPr="000F084B" w:rsidRDefault="00014DEE" w:rsidP="00014DEE">
      <w:pPr>
        <w:jc w:val="center"/>
        <w:rPr>
          <w:szCs w:val="28"/>
        </w:rPr>
      </w:pPr>
      <w:r w:rsidRPr="000F084B">
        <w:rPr>
          <w:szCs w:val="28"/>
        </w:rPr>
        <w:t>четвертого заседания Координационного совета представительных органов местного самоуправления муниципальных образований Ханты-Мансийского автономного округа – Югры и Думы Ханты-Мансийского автономного округа – Югры</w:t>
      </w:r>
    </w:p>
    <w:p w:rsidR="00014DEE" w:rsidRDefault="006142FB" w:rsidP="00014DEE">
      <w:pPr>
        <w:shd w:val="clear" w:color="auto" w:fill="FFFFFF"/>
        <w:ind w:firstLine="567"/>
        <w:jc w:val="both"/>
        <w:rPr>
          <w:color w:val="000000"/>
          <w:spacing w:val="-1"/>
          <w:szCs w:val="28"/>
        </w:rPr>
      </w:pPr>
      <w:r>
        <w:rPr>
          <w:color w:val="000000"/>
          <w:spacing w:val="-1"/>
          <w:szCs w:val="28"/>
        </w:rPr>
        <w:t>По пункту 1.</w:t>
      </w:r>
    </w:p>
    <w:p w:rsidR="00014DEE" w:rsidRPr="007A1D9E" w:rsidRDefault="00014DEE" w:rsidP="00014DEE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Pr="007A1D9E">
        <w:rPr>
          <w:szCs w:val="28"/>
        </w:rPr>
        <w:t xml:space="preserve">зменения в Устав города Сургута в целях приведения в соответствие </w:t>
      </w:r>
      <w:r w:rsidR="00E53035">
        <w:rPr>
          <w:szCs w:val="28"/>
        </w:rPr>
        <w:br/>
      </w:r>
      <w:r w:rsidRPr="007A1D9E">
        <w:rPr>
          <w:szCs w:val="28"/>
        </w:rPr>
        <w:t xml:space="preserve">с Федеральным законом от 18.07.2017 № 171-ФЗ «О внесении изменений </w:t>
      </w:r>
      <w:r w:rsidR="00E53035">
        <w:rPr>
          <w:szCs w:val="28"/>
        </w:rPr>
        <w:br/>
      </w:r>
      <w:r w:rsidRPr="007A1D9E">
        <w:rPr>
          <w:szCs w:val="28"/>
        </w:rPr>
        <w:t>в Федеральный закон «Об общих принципах организации местного самоуправления в Российской Федерации» приняты на заседании Думы г</w:t>
      </w:r>
      <w:r w:rsidR="006142FB">
        <w:rPr>
          <w:szCs w:val="28"/>
        </w:rPr>
        <w:t>орода Сургута 22.11.2017 года.</w:t>
      </w:r>
    </w:p>
    <w:p w:rsidR="00014DEE" w:rsidRDefault="006142FB" w:rsidP="00014DEE">
      <w:pPr>
        <w:ind w:firstLine="567"/>
        <w:jc w:val="both"/>
        <w:rPr>
          <w:szCs w:val="28"/>
        </w:rPr>
      </w:pPr>
      <w:r>
        <w:rPr>
          <w:szCs w:val="28"/>
        </w:rPr>
        <w:t>Р</w:t>
      </w:r>
      <w:r w:rsidR="00014DEE" w:rsidRPr="00314DB8">
        <w:rPr>
          <w:szCs w:val="28"/>
        </w:rPr>
        <w:t>ешением Думы города от 02.10.2017 № 172-</w:t>
      </w:r>
      <w:r w:rsidR="00014DEE" w:rsidRPr="00314DB8">
        <w:rPr>
          <w:szCs w:val="28"/>
          <w:lang w:val="en-US"/>
        </w:rPr>
        <w:t>VI</w:t>
      </w:r>
      <w:r w:rsidR="00014DEE" w:rsidRPr="00314DB8">
        <w:rPr>
          <w:szCs w:val="28"/>
        </w:rPr>
        <w:t xml:space="preserve"> ДГ утвержден Порядок ведения перечня видов муниципального контроля и органов местного самоуправления города Сургута, уполномоченных на их осуществление. Ответственным структурным подразделение</w:t>
      </w:r>
      <w:r w:rsidR="00014DEE">
        <w:rPr>
          <w:szCs w:val="28"/>
        </w:rPr>
        <w:t>м</w:t>
      </w:r>
      <w:r w:rsidR="00014DEE" w:rsidRPr="00314DB8">
        <w:rPr>
          <w:szCs w:val="28"/>
        </w:rPr>
        <w:t xml:space="preserve"> назначено </w:t>
      </w:r>
      <w:r w:rsidR="00014DEE">
        <w:rPr>
          <w:szCs w:val="28"/>
        </w:rPr>
        <w:t xml:space="preserve">контрольное управление. </w:t>
      </w:r>
      <w:r w:rsidR="00014DEE" w:rsidRPr="00314DB8">
        <w:rPr>
          <w:szCs w:val="28"/>
        </w:rPr>
        <w:t>Перечень видов муниципального контроля и органов местного самоуправления города Сургута, упол</w:t>
      </w:r>
      <w:r w:rsidR="00014DEE">
        <w:rPr>
          <w:szCs w:val="28"/>
        </w:rPr>
        <w:t xml:space="preserve">номоченных на их осуществление </w:t>
      </w:r>
      <w:r w:rsidR="00014DEE" w:rsidRPr="00314DB8">
        <w:rPr>
          <w:szCs w:val="28"/>
        </w:rPr>
        <w:t xml:space="preserve">опубликован на </w:t>
      </w:r>
      <w:r w:rsidR="00014DEE">
        <w:rPr>
          <w:szCs w:val="28"/>
        </w:rPr>
        <w:t>официальном портале</w:t>
      </w:r>
      <w:r w:rsidR="00014DEE" w:rsidRPr="00314DB8">
        <w:rPr>
          <w:szCs w:val="28"/>
        </w:rPr>
        <w:t xml:space="preserve"> Администрации города Сургута. </w:t>
      </w:r>
    </w:p>
    <w:p w:rsidR="0075060E" w:rsidRDefault="0075060E" w:rsidP="00014DEE">
      <w:pPr>
        <w:ind w:firstLine="567"/>
        <w:jc w:val="both"/>
        <w:rPr>
          <w:szCs w:val="28"/>
        </w:rPr>
      </w:pPr>
    </w:p>
    <w:p w:rsidR="006142FB" w:rsidRPr="00314DB8" w:rsidRDefault="006142FB" w:rsidP="00014DEE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По пункту 3.</w:t>
      </w:r>
    </w:p>
    <w:p w:rsidR="00014DEE" w:rsidRPr="00F45CEE" w:rsidRDefault="006142FB" w:rsidP="00014DEE">
      <w:pPr>
        <w:ind w:firstLine="567"/>
        <w:jc w:val="both"/>
        <w:rPr>
          <w:szCs w:val="28"/>
        </w:rPr>
      </w:pPr>
      <w:r>
        <w:rPr>
          <w:szCs w:val="28"/>
        </w:rPr>
        <w:t>В настоящее время в</w:t>
      </w:r>
      <w:r w:rsidR="00014DEE" w:rsidRPr="00F45CEE">
        <w:rPr>
          <w:szCs w:val="28"/>
        </w:rPr>
        <w:t>опрос о возможности включения в инвестиционную программу строительство</w:t>
      </w:r>
      <w:r w:rsidR="00014DEE">
        <w:rPr>
          <w:szCs w:val="28"/>
        </w:rPr>
        <w:t xml:space="preserve"> </w:t>
      </w:r>
      <w:r w:rsidR="00014DEE" w:rsidRPr="00F45CEE">
        <w:rPr>
          <w:szCs w:val="28"/>
        </w:rPr>
        <w:t>электрических сетей и электрических подстанций на земельных участках, выделенных для льготны</w:t>
      </w:r>
      <w:r w:rsidR="00156AF9">
        <w:rPr>
          <w:szCs w:val="28"/>
        </w:rPr>
        <w:t>х категорий граждан, планируется рассмотреть на заседании</w:t>
      </w:r>
      <w:r w:rsidR="00014DEE" w:rsidRPr="00F45CEE">
        <w:rPr>
          <w:szCs w:val="28"/>
        </w:rPr>
        <w:t xml:space="preserve"> рабочей группы «Доступная энергетическая инфраструктура» при Администрации муниципального образования городской округ город Сургут» </w:t>
      </w:r>
      <w:r w:rsidR="00156AF9">
        <w:rPr>
          <w:szCs w:val="28"/>
        </w:rPr>
        <w:t>созданной</w:t>
      </w:r>
      <w:r>
        <w:rPr>
          <w:szCs w:val="28"/>
        </w:rPr>
        <w:t xml:space="preserve"> п</w:t>
      </w:r>
      <w:r w:rsidRPr="00F45CEE">
        <w:rPr>
          <w:szCs w:val="28"/>
        </w:rPr>
        <w:t>остановлением Администрации город</w:t>
      </w:r>
      <w:r>
        <w:rPr>
          <w:szCs w:val="28"/>
        </w:rPr>
        <w:t xml:space="preserve">а Сургута от 30.05.2016 № 3970 </w:t>
      </w:r>
      <w:r w:rsidRPr="00F45CEE">
        <w:rPr>
          <w:szCs w:val="28"/>
        </w:rPr>
        <w:t>(с изменениями от 12.10.2017 № 8800)</w:t>
      </w:r>
      <w:r w:rsidR="00156AF9">
        <w:rPr>
          <w:szCs w:val="28"/>
        </w:rPr>
        <w:t>.</w:t>
      </w:r>
    </w:p>
    <w:p w:rsidR="00014DEE" w:rsidRPr="00F45CEE" w:rsidRDefault="00014DEE" w:rsidP="00014DEE">
      <w:pPr>
        <w:ind w:firstLine="567"/>
        <w:jc w:val="both"/>
        <w:rPr>
          <w:szCs w:val="28"/>
        </w:rPr>
      </w:pPr>
      <w:r w:rsidRPr="00F45CEE">
        <w:rPr>
          <w:szCs w:val="28"/>
        </w:rPr>
        <w:t>Отделом формирования земельных уча</w:t>
      </w:r>
      <w:r>
        <w:rPr>
          <w:szCs w:val="28"/>
        </w:rPr>
        <w:t>стков департамента архитектуры</w:t>
      </w:r>
      <w:r w:rsidRPr="00F45CEE">
        <w:rPr>
          <w:szCs w:val="28"/>
        </w:rPr>
        <w:t xml:space="preserve"> </w:t>
      </w:r>
      <w:r>
        <w:rPr>
          <w:szCs w:val="28"/>
        </w:rPr>
        <w:br/>
      </w:r>
      <w:r w:rsidRPr="00F45CEE">
        <w:rPr>
          <w:szCs w:val="28"/>
        </w:rPr>
        <w:t xml:space="preserve">и градостроительства </w:t>
      </w:r>
      <w:r w:rsidR="00156AF9">
        <w:rPr>
          <w:szCs w:val="28"/>
        </w:rPr>
        <w:t xml:space="preserve">Администрации города готовится </w:t>
      </w:r>
      <w:r w:rsidRPr="00F45CEE">
        <w:rPr>
          <w:szCs w:val="28"/>
        </w:rPr>
        <w:t xml:space="preserve">перечень земельных участков для льготной категории граждан (с указанием планируемых сроков подключения) с целью включения мероприятий по </w:t>
      </w:r>
      <w:proofErr w:type="spellStart"/>
      <w:r w:rsidRPr="00F45CEE">
        <w:rPr>
          <w:szCs w:val="28"/>
        </w:rPr>
        <w:t>ресурсоснабжению</w:t>
      </w:r>
      <w:proofErr w:type="spellEnd"/>
      <w:r w:rsidRPr="00F45CEE">
        <w:rPr>
          <w:szCs w:val="28"/>
        </w:rPr>
        <w:t xml:space="preserve"> участков электрическими </w:t>
      </w:r>
      <w:r w:rsidR="004A4B29" w:rsidRPr="00F45CEE">
        <w:rPr>
          <w:szCs w:val="28"/>
        </w:rPr>
        <w:t>сетями в</w:t>
      </w:r>
      <w:r w:rsidRPr="00F45CEE">
        <w:rPr>
          <w:szCs w:val="28"/>
        </w:rPr>
        <w:t xml:space="preserve"> инвестиционную программу </w:t>
      </w:r>
      <w:proofErr w:type="spellStart"/>
      <w:r w:rsidRPr="00F45CEE">
        <w:rPr>
          <w:szCs w:val="28"/>
        </w:rPr>
        <w:t>электроснабжающих</w:t>
      </w:r>
      <w:proofErr w:type="spellEnd"/>
      <w:r w:rsidRPr="00F45CEE">
        <w:rPr>
          <w:szCs w:val="28"/>
        </w:rPr>
        <w:t xml:space="preserve"> организаций. </w:t>
      </w:r>
    </w:p>
    <w:p w:rsidR="00014DEE" w:rsidRPr="00F45CEE" w:rsidRDefault="00014DEE" w:rsidP="00156AF9">
      <w:pPr>
        <w:ind w:firstLine="567"/>
        <w:jc w:val="both"/>
        <w:rPr>
          <w:szCs w:val="28"/>
        </w:rPr>
      </w:pPr>
      <w:r w:rsidRPr="00F45CEE">
        <w:rPr>
          <w:szCs w:val="28"/>
        </w:rPr>
        <w:t xml:space="preserve">Департаментом архитектуры и градостроительства </w:t>
      </w:r>
      <w:r w:rsidR="00156AF9">
        <w:rPr>
          <w:szCs w:val="28"/>
        </w:rPr>
        <w:t xml:space="preserve">Администрации города Сургута </w:t>
      </w:r>
      <w:r w:rsidRPr="00F45CEE">
        <w:rPr>
          <w:szCs w:val="28"/>
        </w:rPr>
        <w:t xml:space="preserve">подготовлено письмо в адрес газоснабжающих организаций, </w:t>
      </w:r>
      <w:r w:rsidR="00156AF9">
        <w:rPr>
          <w:szCs w:val="28"/>
        </w:rPr>
        <w:br/>
      </w:r>
      <w:r w:rsidRPr="00F45CEE">
        <w:rPr>
          <w:szCs w:val="28"/>
        </w:rPr>
        <w:t>с предложением разработки и принятию специальной программы по газификации микрорайонов с земельными участками, выделенными для льготных категорий граждан. В настоящее время инвестиционная программа по газоснабжению в городе Сургуте отсутствует.</w:t>
      </w:r>
    </w:p>
    <w:p w:rsidR="00014DEE" w:rsidRPr="00F45CEE" w:rsidRDefault="00014DEE" w:rsidP="00014DEE">
      <w:pPr>
        <w:ind w:firstLine="567"/>
        <w:jc w:val="both"/>
        <w:rPr>
          <w:szCs w:val="28"/>
        </w:rPr>
      </w:pPr>
      <w:r w:rsidRPr="00F45CEE">
        <w:rPr>
          <w:szCs w:val="28"/>
        </w:rPr>
        <w:t>Отделом формирования земельных уча</w:t>
      </w:r>
      <w:r>
        <w:rPr>
          <w:szCs w:val="28"/>
        </w:rPr>
        <w:t xml:space="preserve">стков департамента архитектуры </w:t>
      </w:r>
      <w:r>
        <w:rPr>
          <w:szCs w:val="28"/>
        </w:rPr>
        <w:br/>
      </w:r>
      <w:r w:rsidRPr="00F45CEE">
        <w:rPr>
          <w:szCs w:val="28"/>
        </w:rPr>
        <w:t xml:space="preserve">и градостроительства будет сформирован перечень земельных участков </w:t>
      </w:r>
      <w:r>
        <w:rPr>
          <w:szCs w:val="28"/>
        </w:rPr>
        <w:br/>
      </w:r>
      <w:r w:rsidRPr="00F45CEE">
        <w:rPr>
          <w:szCs w:val="28"/>
        </w:rPr>
        <w:t>для льготной категории граждан (с указанием планируемых сроков подключения), строения которых необходимо присоединить к сетям газоснабжения.</w:t>
      </w:r>
    </w:p>
    <w:p w:rsidR="0075060E" w:rsidRDefault="0075060E" w:rsidP="0075060E">
      <w:pPr>
        <w:spacing w:line="120" w:lineRule="atLeast"/>
        <w:ind w:firstLine="567"/>
        <w:jc w:val="both"/>
        <w:rPr>
          <w:szCs w:val="28"/>
        </w:rPr>
      </w:pPr>
      <w:r>
        <w:rPr>
          <w:szCs w:val="28"/>
        </w:rPr>
        <w:t>По пункту 4.</w:t>
      </w:r>
    </w:p>
    <w:p w:rsidR="0075060E" w:rsidRDefault="0075060E" w:rsidP="0075060E">
      <w:pPr>
        <w:spacing w:line="120" w:lineRule="atLeast"/>
        <w:ind w:firstLine="567"/>
        <w:jc w:val="both"/>
        <w:rPr>
          <w:szCs w:val="28"/>
        </w:rPr>
      </w:pPr>
      <w:r>
        <w:rPr>
          <w:szCs w:val="28"/>
        </w:rPr>
        <w:t xml:space="preserve">В соответствии с распоряжением Администрации города от 08.09.2015 </w:t>
      </w:r>
      <w:r>
        <w:rPr>
          <w:szCs w:val="28"/>
        </w:rPr>
        <w:br/>
        <w:t xml:space="preserve">№ 2174 «Об утверждении положения о комитете по управлению имуществом Администрации города» комитет по управлению имуществом осуществляет переданные государственные полномочия по субсидированию из окружного бюджета только в рамках государственной </w:t>
      </w:r>
      <w:r w:rsidRPr="0082013F">
        <w:rPr>
          <w:szCs w:val="28"/>
        </w:rPr>
        <w:t xml:space="preserve">программы «Развитие агропромышленного комплекса и рынков сельскохозяйственной продукции, сырья и продовольствия в Ханты-Мансийском автономном округе – Югре </w:t>
      </w:r>
      <w:r>
        <w:rPr>
          <w:szCs w:val="28"/>
        </w:rPr>
        <w:br/>
      </w:r>
      <w:r w:rsidRPr="0082013F">
        <w:rPr>
          <w:szCs w:val="28"/>
        </w:rPr>
        <w:t>в 2018–2025 годах и на период до 2030 года»</w:t>
      </w:r>
      <w:r>
        <w:rPr>
          <w:szCs w:val="28"/>
        </w:rPr>
        <w:t>.</w:t>
      </w:r>
    </w:p>
    <w:p w:rsidR="0075060E" w:rsidRDefault="0075060E" w:rsidP="0075060E">
      <w:pPr>
        <w:ind w:firstLine="709"/>
        <w:jc w:val="both"/>
        <w:rPr>
          <w:szCs w:val="28"/>
        </w:rPr>
      </w:pPr>
      <w:r w:rsidRPr="00113649">
        <w:rPr>
          <w:szCs w:val="28"/>
        </w:rPr>
        <w:t>В соответствии с постановление</w:t>
      </w:r>
      <w:r>
        <w:rPr>
          <w:szCs w:val="28"/>
        </w:rPr>
        <w:t>м</w:t>
      </w:r>
      <w:r w:rsidRPr="00113649">
        <w:rPr>
          <w:szCs w:val="28"/>
        </w:rPr>
        <w:t xml:space="preserve"> Правительства Ханты-Мансийского</w:t>
      </w:r>
      <w:r>
        <w:rPr>
          <w:szCs w:val="28"/>
        </w:rPr>
        <w:t xml:space="preserve"> автономного округа – Югры от 09.10.</w:t>
      </w:r>
      <w:r w:rsidRPr="00113649">
        <w:rPr>
          <w:szCs w:val="28"/>
        </w:rPr>
        <w:t xml:space="preserve">2013 № 420-п «О государственной программе Ханты-Мансийского автономного округа – Югры «Развитие агропромышленного комплекса и рынков сельскохозяйственной продукции, сырья и продовольствия в Ханты-Мансийском автономном округе – Югре </w:t>
      </w:r>
      <w:r w:rsidR="0032731D">
        <w:rPr>
          <w:szCs w:val="28"/>
        </w:rPr>
        <w:br/>
      </w:r>
      <w:r w:rsidRPr="00113649">
        <w:rPr>
          <w:szCs w:val="28"/>
        </w:rPr>
        <w:t>в 2016 – 2020 годах»</w:t>
      </w:r>
      <w:r>
        <w:rPr>
          <w:szCs w:val="28"/>
        </w:rPr>
        <w:t xml:space="preserve"> </w:t>
      </w:r>
      <w:r>
        <w:rPr>
          <w:rFonts w:eastAsia="Calibri"/>
          <w:szCs w:val="28"/>
        </w:rPr>
        <w:t xml:space="preserve">для достижения основной цели – обеспечение </w:t>
      </w:r>
      <w:r w:rsidRPr="000C4E4F">
        <w:rPr>
          <w:szCs w:val="28"/>
        </w:rPr>
        <w:t>устойчиво</w:t>
      </w:r>
      <w:r>
        <w:rPr>
          <w:szCs w:val="28"/>
        </w:rPr>
        <w:t>го</w:t>
      </w:r>
      <w:r w:rsidRPr="000C4E4F">
        <w:rPr>
          <w:szCs w:val="28"/>
        </w:rPr>
        <w:t xml:space="preserve"> развити</w:t>
      </w:r>
      <w:r>
        <w:rPr>
          <w:szCs w:val="28"/>
        </w:rPr>
        <w:t xml:space="preserve">я </w:t>
      </w:r>
      <w:r w:rsidRPr="000C4E4F">
        <w:rPr>
          <w:szCs w:val="28"/>
        </w:rPr>
        <w:t>агропромышленного комплекса и сельских территорий, повышение конкурентоспособности продукции, произведенной в автономном округе</w:t>
      </w:r>
      <w:r>
        <w:rPr>
          <w:szCs w:val="28"/>
        </w:rPr>
        <w:t xml:space="preserve">, государственной программой предусмотрена реализация </w:t>
      </w:r>
      <w:r>
        <w:rPr>
          <w:color w:val="000000"/>
          <w:szCs w:val="28"/>
        </w:rPr>
        <w:t xml:space="preserve">системного </w:t>
      </w:r>
      <w:r>
        <w:rPr>
          <w:color w:val="000000"/>
          <w:szCs w:val="28"/>
        </w:rPr>
        <w:br/>
        <w:t xml:space="preserve">и целенаправленного механизма предоставления </w:t>
      </w:r>
      <w:r w:rsidRPr="00A30ADE">
        <w:rPr>
          <w:color w:val="000000"/>
          <w:szCs w:val="28"/>
        </w:rPr>
        <w:t xml:space="preserve">государственной поддержки </w:t>
      </w:r>
      <w:r>
        <w:rPr>
          <w:color w:val="000000"/>
          <w:szCs w:val="28"/>
        </w:rPr>
        <w:br/>
      </w:r>
      <w:r>
        <w:rPr>
          <w:color w:val="000000"/>
          <w:szCs w:val="28"/>
        </w:rPr>
        <w:lastRenderedPageBreak/>
        <w:t xml:space="preserve">по направлениям </w:t>
      </w:r>
      <w:r>
        <w:rPr>
          <w:szCs w:val="28"/>
        </w:rPr>
        <w:t xml:space="preserve">развития </w:t>
      </w:r>
      <w:r w:rsidRPr="00A30ADE">
        <w:rPr>
          <w:szCs w:val="28"/>
        </w:rPr>
        <w:t>материально-технической</w:t>
      </w:r>
      <w:r>
        <w:rPr>
          <w:szCs w:val="28"/>
        </w:rPr>
        <w:t xml:space="preserve"> базы малых форм хозяйствования, п</w:t>
      </w:r>
      <w:r w:rsidRPr="00A30ADE">
        <w:rPr>
          <w:szCs w:val="28"/>
        </w:rPr>
        <w:t>ривлечени</w:t>
      </w:r>
      <w:r>
        <w:rPr>
          <w:szCs w:val="28"/>
        </w:rPr>
        <w:t>я в отрасль</w:t>
      </w:r>
      <w:r w:rsidRPr="00A30ADE">
        <w:rPr>
          <w:szCs w:val="28"/>
        </w:rPr>
        <w:t xml:space="preserve"> кредит</w:t>
      </w:r>
      <w:r>
        <w:rPr>
          <w:szCs w:val="28"/>
        </w:rPr>
        <w:t>ных ресурсов,</w:t>
      </w:r>
      <w:r w:rsidRPr="00A30ADE">
        <w:rPr>
          <w:szCs w:val="28"/>
        </w:rPr>
        <w:t xml:space="preserve"> </w:t>
      </w:r>
      <w:r>
        <w:rPr>
          <w:szCs w:val="28"/>
        </w:rPr>
        <w:t>п</w:t>
      </w:r>
      <w:r w:rsidRPr="00A30ADE">
        <w:rPr>
          <w:szCs w:val="28"/>
        </w:rPr>
        <w:t>рямо</w:t>
      </w:r>
      <w:r>
        <w:rPr>
          <w:szCs w:val="28"/>
        </w:rPr>
        <w:t>го</w:t>
      </w:r>
      <w:r w:rsidRPr="00A30ADE">
        <w:rPr>
          <w:szCs w:val="28"/>
        </w:rPr>
        <w:t xml:space="preserve"> инвестировани</w:t>
      </w:r>
      <w:r>
        <w:rPr>
          <w:szCs w:val="28"/>
        </w:rPr>
        <w:t>я</w:t>
      </w:r>
      <w:r w:rsidRPr="00A30ADE">
        <w:rPr>
          <w:szCs w:val="28"/>
        </w:rPr>
        <w:t xml:space="preserve"> в создание объектов сельскохозяйственного производства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грантовой</w:t>
      </w:r>
      <w:proofErr w:type="spellEnd"/>
      <w:r>
        <w:rPr>
          <w:szCs w:val="28"/>
        </w:rPr>
        <w:t xml:space="preserve"> поддержки</w:t>
      </w:r>
      <w:r w:rsidRPr="00A30ADE">
        <w:rPr>
          <w:szCs w:val="28"/>
        </w:rPr>
        <w:t xml:space="preserve"> бизнес-планов по созданию, развитию крестьянских (фермерских) хозяйств, кооперативов, организаций, </w:t>
      </w:r>
      <w:r>
        <w:rPr>
          <w:szCs w:val="28"/>
        </w:rPr>
        <w:t>осуществляющих деятельность</w:t>
      </w:r>
      <w:r w:rsidRPr="00A30ADE">
        <w:rPr>
          <w:szCs w:val="28"/>
        </w:rPr>
        <w:t xml:space="preserve"> в сфере за</w:t>
      </w:r>
      <w:r>
        <w:rPr>
          <w:szCs w:val="28"/>
        </w:rPr>
        <w:t xml:space="preserve">готовки и переработки дикоросов, </w:t>
      </w:r>
      <w:r w:rsidRPr="00B73B96">
        <w:rPr>
          <w:szCs w:val="28"/>
        </w:rPr>
        <w:t>стимулирования племенной работы</w:t>
      </w:r>
      <w:r>
        <w:rPr>
          <w:szCs w:val="28"/>
        </w:rPr>
        <w:t xml:space="preserve">, привлечения в отрасль квалифицированных кадров, а также </w:t>
      </w:r>
      <w:r w:rsidRPr="000C4E4F">
        <w:rPr>
          <w:szCs w:val="28"/>
        </w:rPr>
        <w:t>проведени</w:t>
      </w:r>
      <w:r>
        <w:rPr>
          <w:szCs w:val="28"/>
        </w:rPr>
        <w:t>я</w:t>
      </w:r>
      <w:r w:rsidRPr="000C4E4F">
        <w:rPr>
          <w:szCs w:val="28"/>
        </w:rPr>
        <w:t xml:space="preserve"> противоэпизоотических мероприятий на территории автономного округа, обеспечивающих благополучие </w:t>
      </w:r>
      <w:r>
        <w:rPr>
          <w:szCs w:val="28"/>
        </w:rPr>
        <w:t>Югры</w:t>
      </w:r>
      <w:r w:rsidRPr="000C4E4F">
        <w:rPr>
          <w:szCs w:val="28"/>
        </w:rPr>
        <w:t xml:space="preserve"> от заразных и иных болезней животных</w:t>
      </w:r>
      <w:r>
        <w:rPr>
          <w:szCs w:val="28"/>
        </w:rPr>
        <w:t>.</w:t>
      </w:r>
    </w:p>
    <w:p w:rsidR="0075060E" w:rsidRPr="00113649" w:rsidRDefault="0075060E" w:rsidP="0075060E">
      <w:pPr>
        <w:ind w:right="-1" w:firstLine="567"/>
        <w:jc w:val="both"/>
        <w:rPr>
          <w:szCs w:val="28"/>
        </w:rPr>
      </w:pPr>
      <w:r>
        <w:rPr>
          <w:szCs w:val="28"/>
        </w:rPr>
        <w:t xml:space="preserve">Учитывая, что получатели поддержки находятся на территории города, </w:t>
      </w:r>
      <w:r>
        <w:rPr>
          <w:szCs w:val="28"/>
        </w:rPr>
        <w:br/>
        <w:t>а не на межселенных и сельских территориях, участие их в данной программе путем обращения в Администрацию города невозможно.</w:t>
      </w:r>
    </w:p>
    <w:p w:rsidR="0075060E" w:rsidRDefault="0075060E" w:rsidP="0075060E">
      <w:pPr>
        <w:ind w:firstLine="567"/>
        <w:jc w:val="both"/>
        <w:rPr>
          <w:szCs w:val="28"/>
        </w:rPr>
      </w:pPr>
      <w:r>
        <w:rPr>
          <w:szCs w:val="28"/>
        </w:rPr>
        <w:t>Крестьянские (фермерские) хозяйства и сельскохозяйственные потребительские кооперативы относятся к субъектам малого и среднего предпринимательства. Таким образом</w:t>
      </w:r>
      <w:r w:rsidR="0032731D">
        <w:rPr>
          <w:szCs w:val="28"/>
        </w:rPr>
        <w:t>,</w:t>
      </w:r>
      <w:r>
        <w:rPr>
          <w:szCs w:val="28"/>
        </w:rPr>
        <w:t xml:space="preserve"> оказание поддержки сельскохозяйственным предпринимателям возможно путем участия их в иных программах, предусмотренных для субъектов малого и среднего предпринимательства. </w:t>
      </w:r>
    </w:p>
    <w:p w:rsidR="004A4B29" w:rsidRPr="004A4B29" w:rsidRDefault="004A4B29" w:rsidP="0075060E">
      <w:pPr>
        <w:ind w:firstLine="567"/>
        <w:jc w:val="both"/>
        <w:rPr>
          <w:szCs w:val="28"/>
        </w:rPr>
      </w:pPr>
      <w:r w:rsidRPr="004A4B29">
        <w:rPr>
          <w:szCs w:val="28"/>
        </w:rPr>
        <w:t>По пункту 7</w:t>
      </w:r>
    </w:p>
    <w:p w:rsidR="00014DEE" w:rsidRDefault="00014DEE" w:rsidP="0075060E">
      <w:pPr>
        <w:ind w:firstLine="567"/>
        <w:jc w:val="both"/>
        <w:rPr>
          <w:szCs w:val="28"/>
        </w:rPr>
      </w:pPr>
      <w:r>
        <w:rPr>
          <w:szCs w:val="28"/>
        </w:rPr>
        <w:t xml:space="preserve">На территории </w:t>
      </w:r>
      <w:r w:rsidRPr="00643490">
        <w:rPr>
          <w:szCs w:val="28"/>
        </w:rPr>
        <w:t>города Сургута постановлением Администрации</w:t>
      </w:r>
      <w:r>
        <w:rPr>
          <w:szCs w:val="28"/>
        </w:rPr>
        <w:t xml:space="preserve"> города </w:t>
      </w:r>
      <w:r w:rsidR="00E53035">
        <w:rPr>
          <w:szCs w:val="28"/>
        </w:rPr>
        <w:br/>
      </w:r>
      <w:r w:rsidRPr="00643490">
        <w:rPr>
          <w:szCs w:val="28"/>
        </w:rPr>
        <w:t>от 15.03.2016 № 1831 утвержден комплексный межведомственный</w:t>
      </w:r>
      <w:r>
        <w:rPr>
          <w:szCs w:val="28"/>
        </w:rPr>
        <w:t xml:space="preserve"> </w:t>
      </w:r>
      <w:r w:rsidRPr="00643490">
        <w:rPr>
          <w:szCs w:val="28"/>
        </w:rPr>
        <w:t>план мероприятий, направленны</w:t>
      </w:r>
      <w:r>
        <w:rPr>
          <w:szCs w:val="28"/>
        </w:rPr>
        <w:t>х</w:t>
      </w:r>
      <w:r w:rsidRPr="00643490">
        <w:rPr>
          <w:szCs w:val="28"/>
        </w:rPr>
        <w:t xml:space="preserve"> на профилактику заболеваний и формированию</w:t>
      </w:r>
      <w:r>
        <w:rPr>
          <w:szCs w:val="28"/>
        </w:rPr>
        <w:t xml:space="preserve"> </w:t>
      </w:r>
      <w:r w:rsidRPr="00643490">
        <w:rPr>
          <w:szCs w:val="28"/>
        </w:rPr>
        <w:t xml:space="preserve">здорового образа жизни среди населения города Сургута на </w:t>
      </w:r>
      <w:r>
        <w:rPr>
          <w:szCs w:val="28"/>
        </w:rPr>
        <w:t>период до 2020 года.</w:t>
      </w:r>
      <w:r w:rsidRPr="00643490">
        <w:rPr>
          <w:szCs w:val="28"/>
        </w:rPr>
        <w:t xml:space="preserve"> </w:t>
      </w:r>
    </w:p>
    <w:p w:rsidR="00014DEE" w:rsidRPr="00643490" w:rsidRDefault="00014DEE" w:rsidP="0075060E">
      <w:pPr>
        <w:ind w:firstLine="567"/>
        <w:jc w:val="both"/>
        <w:rPr>
          <w:szCs w:val="28"/>
        </w:rPr>
      </w:pPr>
      <w:r w:rsidRPr="00643490">
        <w:rPr>
          <w:szCs w:val="28"/>
        </w:rPr>
        <w:t>Мероприятия по профилактике</w:t>
      </w:r>
      <w:r>
        <w:rPr>
          <w:szCs w:val="28"/>
        </w:rPr>
        <w:t xml:space="preserve"> </w:t>
      </w:r>
      <w:r w:rsidRPr="00643490">
        <w:rPr>
          <w:szCs w:val="28"/>
        </w:rPr>
        <w:t>и формированию здорового образа жизни реализуются по ведомствам: образование,</w:t>
      </w:r>
      <w:r>
        <w:rPr>
          <w:szCs w:val="28"/>
        </w:rPr>
        <w:t xml:space="preserve"> </w:t>
      </w:r>
      <w:r w:rsidRPr="00643490">
        <w:rPr>
          <w:szCs w:val="28"/>
        </w:rPr>
        <w:t>спорт, здравоохранение, социальная служба, управление по связям</w:t>
      </w:r>
      <w:r>
        <w:rPr>
          <w:szCs w:val="28"/>
        </w:rPr>
        <w:t xml:space="preserve"> </w:t>
      </w:r>
      <w:r w:rsidRPr="00643490">
        <w:rPr>
          <w:szCs w:val="28"/>
        </w:rPr>
        <w:t>с общественностью и средствами массовой информации Администрации города</w:t>
      </w:r>
      <w:r>
        <w:rPr>
          <w:szCs w:val="28"/>
        </w:rPr>
        <w:t xml:space="preserve"> </w:t>
      </w:r>
      <w:r w:rsidRPr="00643490">
        <w:rPr>
          <w:szCs w:val="28"/>
        </w:rPr>
        <w:t>и др. Ответственным куратором данного</w:t>
      </w:r>
      <w:r>
        <w:rPr>
          <w:szCs w:val="28"/>
        </w:rPr>
        <w:t xml:space="preserve"> комплексного межведомственного плана является служба по охране здоровья населения Администрации города.</w:t>
      </w:r>
    </w:p>
    <w:p w:rsidR="00014DEE" w:rsidRPr="007A1D9E" w:rsidRDefault="00014DEE" w:rsidP="00014DEE">
      <w:pPr>
        <w:jc w:val="both"/>
        <w:rPr>
          <w:szCs w:val="28"/>
        </w:rPr>
      </w:pPr>
    </w:p>
    <w:p w:rsidR="00014DEE" w:rsidRDefault="00014DEE" w:rsidP="00014DEE">
      <w:pPr>
        <w:tabs>
          <w:tab w:val="left" w:pos="0"/>
        </w:tabs>
        <w:jc w:val="both"/>
        <w:rPr>
          <w:szCs w:val="28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pStyle w:val="ae"/>
        <w:rPr>
          <w:sz w:val="20"/>
        </w:rPr>
      </w:pPr>
    </w:p>
    <w:p w:rsidR="00014DEE" w:rsidRDefault="00014DEE" w:rsidP="00014DEE">
      <w:pPr>
        <w:ind w:firstLine="567"/>
        <w:jc w:val="both"/>
      </w:pPr>
    </w:p>
    <w:p w:rsidR="00FE1ABF" w:rsidRPr="00FE1ABF" w:rsidRDefault="00FE1ABF" w:rsidP="00014DEE">
      <w:pPr>
        <w:jc w:val="both"/>
        <w:rPr>
          <w:sz w:val="24"/>
        </w:rPr>
      </w:pPr>
    </w:p>
    <w:p w:rsidR="00014DEE" w:rsidRPr="00FE1ABF" w:rsidRDefault="00014DEE">
      <w:pPr>
        <w:jc w:val="both"/>
        <w:rPr>
          <w:sz w:val="24"/>
        </w:rPr>
      </w:pPr>
    </w:p>
    <w:sectPr w:rsidR="00014DEE" w:rsidRPr="00FE1ABF" w:rsidSect="005D6FE6">
      <w:foot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EE5" w:rsidRDefault="00306EE5" w:rsidP="006D09C6">
      <w:r>
        <w:separator/>
      </w:r>
    </w:p>
  </w:endnote>
  <w:endnote w:type="continuationSeparator" w:id="0">
    <w:p w:rsidR="00306EE5" w:rsidRDefault="00306EE5" w:rsidP="006D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7673694"/>
      <w:docPartObj>
        <w:docPartGallery w:val="Page Numbers (Bottom of Page)"/>
        <w:docPartUnique/>
      </w:docPartObj>
    </w:sdtPr>
    <w:sdtEndPr/>
    <w:sdtContent>
      <w:p w:rsidR="004645F5" w:rsidRDefault="004645F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6E4">
          <w:rPr>
            <w:noProof/>
          </w:rPr>
          <w:t>2</w:t>
        </w:r>
        <w:r>
          <w:fldChar w:fldCharType="end"/>
        </w:r>
      </w:p>
    </w:sdtContent>
  </w:sdt>
  <w:p w:rsidR="004645F5" w:rsidRDefault="004645F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EE5" w:rsidRDefault="00306EE5" w:rsidP="006D09C6">
      <w:r>
        <w:separator/>
      </w:r>
    </w:p>
  </w:footnote>
  <w:footnote w:type="continuationSeparator" w:id="0">
    <w:p w:rsidR="00306EE5" w:rsidRDefault="00306EE5" w:rsidP="006D0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</w:rPr>
      <w:id w:val="1744917508"/>
      <w:lock w:val="sdtContentLocked"/>
      <w:picture/>
    </w:sdtPr>
    <w:sdtEndPr/>
    <w:sdtContent>
      <w:p w:rsidR="004D3197" w:rsidRDefault="004D3197" w:rsidP="00B7632F">
        <w:pPr>
          <w:pStyle w:val="a4"/>
          <w:ind w:left="1512"/>
        </w:pPr>
        <w:r>
          <w:rPr>
            <w:noProof/>
          </w:rPr>
          <w:drawing>
            <wp:inline distT="0" distB="0" distL="0" distR="0">
              <wp:extent cx="523875" cy="609600"/>
              <wp:effectExtent l="19050" t="0" r="9525" b="0"/>
              <wp:docPr id="1" name="_x0_0_38.5795_45.6094" descr="gerb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_x0_0_38.5795_45.6094" descr="gerb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3875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424CEE"/>
    <w:multiLevelType w:val="hybridMultilevel"/>
    <w:tmpl w:val="553A237C"/>
    <w:lvl w:ilvl="0" w:tplc="B4A22D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F784C67"/>
    <w:multiLevelType w:val="hybridMultilevel"/>
    <w:tmpl w:val="553A237C"/>
    <w:lvl w:ilvl="0" w:tplc="B4A22D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F93A00"/>
    <w:multiLevelType w:val="hybridMultilevel"/>
    <w:tmpl w:val="59C09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BA0"/>
    <w:multiLevelType w:val="hybridMultilevel"/>
    <w:tmpl w:val="EBFA8EA0"/>
    <w:lvl w:ilvl="0" w:tplc="891EA4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BE5641F"/>
    <w:multiLevelType w:val="hybridMultilevel"/>
    <w:tmpl w:val="553A237C"/>
    <w:lvl w:ilvl="0" w:tplc="B4A22D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ABF"/>
    <w:rsid w:val="000067F8"/>
    <w:rsid w:val="00014DEE"/>
    <w:rsid w:val="000207DD"/>
    <w:rsid w:val="00026B28"/>
    <w:rsid w:val="0004368E"/>
    <w:rsid w:val="00070599"/>
    <w:rsid w:val="000B0035"/>
    <w:rsid w:val="000C3F4B"/>
    <w:rsid w:val="000D301F"/>
    <w:rsid w:val="000E627E"/>
    <w:rsid w:val="000F4771"/>
    <w:rsid w:val="00103963"/>
    <w:rsid w:val="00111DF8"/>
    <w:rsid w:val="00114904"/>
    <w:rsid w:val="00136A55"/>
    <w:rsid w:val="00153EE9"/>
    <w:rsid w:val="00156AF9"/>
    <w:rsid w:val="00165BA0"/>
    <w:rsid w:val="00166045"/>
    <w:rsid w:val="00171022"/>
    <w:rsid w:val="00174D30"/>
    <w:rsid w:val="001A5C5D"/>
    <w:rsid w:val="001B5AEE"/>
    <w:rsid w:val="001C4022"/>
    <w:rsid w:val="001D1EA4"/>
    <w:rsid w:val="001E2960"/>
    <w:rsid w:val="001F7CF1"/>
    <w:rsid w:val="00205C40"/>
    <w:rsid w:val="00207BFA"/>
    <w:rsid w:val="00210B23"/>
    <w:rsid w:val="00212BB5"/>
    <w:rsid w:val="002137AF"/>
    <w:rsid w:val="0024231E"/>
    <w:rsid w:val="00264724"/>
    <w:rsid w:val="00270405"/>
    <w:rsid w:val="00271717"/>
    <w:rsid w:val="00273ED0"/>
    <w:rsid w:val="00274788"/>
    <w:rsid w:val="00283943"/>
    <w:rsid w:val="00290320"/>
    <w:rsid w:val="002A366F"/>
    <w:rsid w:val="002A3E30"/>
    <w:rsid w:val="002C57D1"/>
    <w:rsid w:val="00302D4B"/>
    <w:rsid w:val="0030651A"/>
    <w:rsid w:val="00306EE5"/>
    <w:rsid w:val="0031058B"/>
    <w:rsid w:val="003221D6"/>
    <w:rsid w:val="0032731D"/>
    <w:rsid w:val="00334320"/>
    <w:rsid w:val="003366C1"/>
    <w:rsid w:val="0037154D"/>
    <w:rsid w:val="003731C6"/>
    <w:rsid w:val="003772FF"/>
    <w:rsid w:val="00381266"/>
    <w:rsid w:val="00397FE4"/>
    <w:rsid w:val="003B03B1"/>
    <w:rsid w:val="003B103F"/>
    <w:rsid w:val="003D5C97"/>
    <w:rsid w:val="003D7EE2"/>
    <w:rsid w:val="003F09AA"/>
    <w:rsid w:val="003F7057"/>
    <w:rsid w:val="003F79F1"/>
    <w:rsid w:val="00401D38"/>
    <w:rsid w:val="0040573C"/>
    <w:rsid w:val="0041657E"/>
    <w:rsid w:val="00434A47"/>
    <w:rsid w:val="004402CF"/>
    <w:rsid w:val="0046050B"/>
    <w:rsid w:val="00460D01"/>
    <w:rsid w:val="004645F5"/>
    <w:rsid w:val="00472810"/>
    <w:rsid w:val="00472FAB"/>
    <w:rsid w:val="00482A09"/>
    <w:rsid w:val="00482BB5"/>
    <w:rsid w:val="00482BE8"/>
    <w:rsid w:val="00490064"/>
    <w:rsid w:val="004A4B29"/>
    <w:rsid w:val="004B4621"/>
    <w:rsid w:val="004B4F5C"/>
    <w:rsid w:val="004B66E4"/>
    <w:rsid w:val="004B671D"/>
    <w:rsid w:val="004C0440"/>
    <w:rsid w:val="004C409B"/>
    <w:rsid w:val="004D3197"/>
    <w:rsid w:val="004E5656"/>
    <w:rsid w:val="00511F21"/>
    <w:rsid w:val="00530583"/>
    <w:rsid w:val="005437B8"/>
    <w:rsid w:val="00550B76"/>
    <w:rsid w:val="00567096"/>
    <w:rsid w:val="005678E8"/>
    <w:rsid w:val="0058193F"/>
    <w:rsid w:val="005854E5"/>
    <w:rsid w:val="00595F4F"/>
    <w:rsid w:val="005A72A9"/>
    <w:rsid w:val="005B5EA3"/>
    <w:rsid w:val="005C535A"/>
    <w:rsid w:val="005D398A"/>
    <w:rsid w:val="005D6FE6"/>
    <w:rsid w:val="00600655"/>
    <w:rsid w:val="006053F6"/>
    <w:rsid w:val="006142FB"/>
    <w:rsid w:val="00635B57"/>
    <w:rsid w:val="00647F65"/>
    <w:rsid w:val="00652A05"/>
    <w:rsid w:val="00690853"/>
    <w:rsid w:val="006A3296"/>
    <w:rsid w:val="006A4B7E"/>
    <w:rsid w:val="006A6B14"/>
    <w:rsid w:val="006C15F3"/>
    <w:rsid w:val="006D09C6"/>
    <w:rsid w:val="006D5A11"/>
    <w:rsid w:val="006E734C"/>
    <w:rsid w:val="006F1794"/>
    <w:rsid w:val="006F6281"/>
    <w:rsid w:val="006F719F"/>
    <w:rsid w:val="0071761C"/>
    <w:rsid w:val="0072650B"/>
    <w:rsid w:val="00740B14"/>
    <w:rsid w:val="0075060E"/>
    <w:rsid w:val="00752587"/>
    <w:rsid w:val="00752AD9"/>
    <w:rsid w:val="00762D1B"/>
    <w:rsid w:val="00765D4F"/>
    <w:rsid w:val="007A619F"/>
    <w:rsid w:val="007B13E0"/>
    <w:rsid w:val="007B74F0"/>
    <w:rsid w:val="007C00EF"/>
    <w:rsid w:val="007D1A11"/>
    <w:rsid w:val="007E31EA"/>
    <w:rsid w:val="00803406"/>
    <w:rsid w:val="00811431"/>
    <w:rsid w:val="00811A06"/>
    <w:rsid w:val="00813026"/>
    <w:rsid w:val="008160A7"/>
    <w:rsid w:val="00827FDD"/>
    <w:rsid w:val="00850760"/>
    <w:rsid w:val="00856F69"/>
    <w:rsid w:val="008A032F"/>
    <w:rsid w:val="008E4B9B"/>
    <w:rsid w:val="008E7A18"/>
    <w:rsid w:val="008F2810"/>
    <w:rsid w:val="009020E2"/>
    <w:rsid w:val="00903321"/>
    <w:rsid w:val="00923D96"/>
    <w:rsid w:val="009254D4"/>
    <w:rsid w:val="0092605A"/>
    <w:rsid w:val="00943177"/>
    <w:rsid w:val="00980E3D"/>
    <w:rsid w:val="00997E5D"/>
    <w:rsid w:val="009B21C3"/>
    <w:rsid w:val="009B2D66"/>
    <w:rsid w:val="009F7B54"/>
    <w:rsid w:val="00A13ED9"/>
    <w:rsid w:val="00A4083D"/>
    <w:rsid w:val="00A97D9D"/>
    <w:rsid w:val="00AB4B36"/>
    <w:rsid w:val="00AC4547"/>
    <w:rsid w:val="00AF49B2"/>
    <w:rsid w:val="00B23D6B"/>
    <w:rsid w:val="00B25A77"/>
    <w:rsid w:val="00B25FF6"/>
    <w:rsid w:val="00B43446"/>
    <w:rsid w:val="00B468D8"/>
    <w:rsid w:val="00B7632F"/>
    <w:rsid w:val="00B8262A"/>
    <w:rsid w:val="00BB1A4D"/>
    <w:rsid w:val="00BB22C3"/>
    <w:rsid w:val="00BD4186"/>
    <w:rsid w:val="00BD5046"/>
    <w:rsid w:val="00BE645C"/>
    <w:rsid w:val="00C10678"/>
    <w:rsid w:val="00C16FFA"/>
    <w:rsid w:val="00C277E4"/>
    <w:rsid w:val="00C36516"/>
    <w:rsid w:val="00C436C8"/>
    <w:rsid w:val="00C52527"/>
    <w:rsid w:val="00C56F5B"/>
    <w:rsid w:val="00C602A8"/>
    <w:rsid w:val="00C648DE"/>
    <w:rsid w:val="00CC64B1"/>
    <w:rsid w:val="00CD218E"/>
    <w:rsid w:val="00CD7B44"/>
    <w:rsid w:val="00D13B4F"/>
    <w:rsid w:val="00D44893"/>
    <w:rsid w:val="00D47A89"/>
    <w:rsid w:val="00D60CE6"/>
    <w:rsid w:val="00D76B0B"/>
    <w:rsid w:val="00D83394"/>
    <w:rsid w:val="00DA6CFA"/>
    <w:rsid w:val="00DD5740"/>
    <w:rsid w:val="00E2035D"/>
    <w:rsid w:val="00E310A7"/>
    <w:rsid w:val="00E4008C"/>
    <w:rsid w:val="00E41395"/>
    <w:rsid w:val="00E53035"/>
    <w:rsid w:val="00E54FEA"/>
    <w:rsid w:val="00E637D4"/>
    <w:rsid w:val="00E8557C"/>
    <w:rsid w:val="00E85EA3"/>
    <w:rsid w:val="00EC13D3"/>
    <w:rsid w:val="00EC534D"/>
    <w:rsid w:val="00EE0CA2"/>
    <w:rsid w:val="00EE17A8"/>
    <w:rsid w:val="00EF068B"/>
    <w:rsid w:val="00EF3CF5"/>
    <w:rsid w:val="00F01FF6"/>
    <w:rsid w:val="00F07174"/>
    <w:rsid w:val="00F313C1"/>
    <w:rsid w:val="00F43B18"/>
    <w:rsid w:val="00F712D2"/>
    <w:rsid w:val="00F81059"/>
    <w:rsid w:val="00F90932"/>
    <w:rsid w:val="00F91EDD"/>
    <w:rsid w:val="00FD387F"/>
    <w:rsid w:val="00FD57E7"/>
    <w:rsid w:val="00FE0322"/>
    <w:rsid w:val="00FE1ABF"/>
    <w:rsid w:val="00FF0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CD795CB-B684-40AB-A271-92050651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32F"/>
    <w:rPr>
      <w:sz w:val="28"/>
      <w:szCs w:val="24"/>
    </w:rPr>
  </w:style>
  <w:style w:type="paragraph" w:styleId="1">
    <w:name w:val="heading 1"/>
    <w:basedOn w:val="a"/>
    <w:next w:val="a"/>
    <w:qFormat/>
    <w:rsid w:val="00D13B4F"/>
    <w:pPr>
      <w:keepNext/>
      <w:jc w:val="center"/>
      <w:outlineLvl w:val="0"/>
    </w:pPr>
    <w:rPr>
      <w:b/>
      <w:sz w:val="36"/>
      <w:szCs w:val="32"/>
    </w:rPr>
  </w:style>
  <w:style w:type="paragraph" w:styleId="2">
    <w:name w:val="heading 2"/>
    <w:basedOn w:val="a"/>
    <w:next w:val="a"/>
    <w:qFormat/>
    <w:rsid w:val="00D13B4F"/>
    <w:pPr>
      <w:keepNext/>
      <w:jc w:val="center"/>
      <w:outlineLvl w:val="1"/>
    </w:pPr>
    <w:rPr>
      <w:b/>
      <w:spacing w:val="20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7B74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13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7B74F0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header"/>
    <w:basedOn w:val="a"/>
    <w:link w:val="a5"/>
    <w:rsid w:val="006D09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D09C6"/>
    <w:rPr>
      <w:sz w:val="24"/>
      <w:szCs w:val="24"/>
    </w:rPr>
  </w:style>
  <w:style w:type="paragraph" w:styleId="a6">
    <w:name w:val="footer"/>
    <w:basedOn w:val="a"/>
    <w:link w:val="a7"/>
    <w:uiPriority w:val="99"/>
    <w:rsid w:val="006D09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09C6"/>
    <w:rPr>
      <w:sz w:val="24"/>
      <w:szCs w:val="24"/>
    </w:rPr>
  </w:style>
  <w:style w:type="paragraph" w:customStyle="1" w:styleId="wwwdefault-paragraph-style">
    <w:name w:val="wwwdefault-paragraph-style"/>
    <w:basedOn w:val="a"/>
    <w:rsid w:val="006D09C6"/>
    <w:pPr>
      <w:widowControl w:val="0"/>
      <w:adjustRightInd w:val="0"/>
    </w:pPr>
    <w:rPr>
      <w:szCs w:val="20"/>
    </w:rPr>
  </w:style>
  <w:style w:type="paragraph" w:customStyle="1" w:styleId="wwwwwP4">
    <w:name w:val="wwwwwP4"/>
    <w:basedOn w:val="a"/>
    <w:rsid w:val="006D09C6"/>
    <w:pPr>
      <w:widowControl w:val="0"/>
      <w:adjustRightInd w:val="0"/>
      <w:jc w:val="center"/>
    </w:pPr>
    <w:rPr>
      <w:szCs w:val="20"/>
    </w:rPr>
  </w:style>
  <w:style w:type="paragraph" w:customStyle="1" w:styleId="wwwwwP5">
    <w:name w:val="wwwwwP5"/>
    <w:basedOn w:val="a"/>
    <w:rsid w:val="006D09C6"/>
    <w:pPr>
      <w:widowControl w:val="0"/>
      <w:adjustRightInd w:val="0"/>
      <w:jc w:val="center"/>
    </w:pPr>
    <w:rPr>
      <w:szCs w:val="20"/>
    </w:rPr>
  </w:style>
  <w:style w:type="paragraph" w:customStyle="1" w:styleId="wwwwwP6">
    <w:name w:val="wwwwwP6"/>
    <w:basedOn w:val="a"/>
    <w:rsid w:val="006D09C6"/>
    <w:pPr>
      <w:widowControl w:val="0"/>
      <w:adjustRightInd w:val="0"/>
      <w:jc w:val="center"/>
    </w:pPr>
    <w:rPr>
      <w:sz w:val="22"/>
      <w:szCs w:val="20"/>
    </w:rPr>
  </w:style>
  <w:style w:type="paragraph" w:customStyle="1" w:styleId="wwwwP2">
    <w:name w:val="wwwwP2"/>
    <w:basedOn w:val="a"/>
    <w:rsid w:val="006D09C6"/>
    <w:pPr>
      <w:widowControl w:val="0"/>
      <w:adjustRightInd w:val="0"/>
    </w:pPr>
    <w:rPr>
      <w:szCs w:val="20"/>
    </w:rPr>
  </w:style>
  <w:style w:type="character" w:customStyle="1" w:styleId="wwT1">
    <w:name w:val="wwT1"/>
    <w:rsid w:val="006D09C6"/>
  </w:style>
  <w:style w:type="paragraph" w:customStyle="1" w:styleId="P4">
    <w:name w:val="P4"/>
    <w:basedOn w:val="wwwwwP5"/>
    <w:hidden/>
    <w:rsid w:val="006D09C6"/>
  </w:style>
  <w:style w:type="paragraph" w:customStyle="1" w:styleId="P5">
    <w:name w:val="P5"/>
    <w:basedOn w:val="a"/>
    <w:hidden/>
    <w:rsid w:val="006D09C6"/>
    <w:pPr>
      <w:widowControl w:val="0"/>
      <w:adjustRightInd w:val="0"/>
      <w:jc w:val="center"/>
    </w:pPr>
    <w:rPr>
      <w:sz w:val="22"/>
      <w:szCs w:val="20"/>
    </w:rPr>
  </w:style>
  <w:style w:type="paragraph" w:customStyle="1" w:styleId="P9">
    <w:name w:val="P9"/>
    <w:basedOn w:val="wwwdefault-paragraph-style"/>
    <w:hidden/>
    <w:rsid w:val="006D09C6"/>
    <w:pPr>
      <w:jc w:val="center"/>
    </w:pPr>
  </w:style>
  <w:style w:type="paragraph" w:customStyle="1" w:styleId="P10">
    <w:name w:val="P10"/>
    <w:basedOn w:val="wwwwwP4"/>
    <w:hidden/>
    <w:rsid w:val="006D09C6"/>
    <w:rPr>
      <w:b/>
    </w:rPr>
  </w:style>
  <w:style w:type="paragraph" w:customStyle="1" w:styleId="P11">
    <w:name w:val="P11"/>
    <w:basedOn w:val="wwwwwP4"/>
    <w:hidden/>
    <w:rsid w:val="006D09C6"/>
    <w:rPr>
      <w:b/>
    </w:rPr>
  </w:style>
  <w:style w:type="paragraph" w:customStyle="1" w:styleId="P13">
    <w:name w:val="P13"/>
    <w:basedOn w:val="wwwwwP5"/>
    <w:hidden/>
    <w:rsid w:val="006D09C6"/>
  </w:style>
  <w:style w:type="paragraph" w:customStyle="1" w:styleId="P16">
    <w:name w:val="P16"/>
    <w:basedOn w:val="wwwwP2"/>
    <w:hidden/>
    <w:rsid w:val="006D09C6"/>
    <w:rPr>
      <w:sz w:val="24"/>
    </w:rPr>
  </w:style>
  <w:style w:type="paragraph" w:customStyle="1" w:styleId="P17">
    <w:name w:val="P17"/>
    <w:basedOn w:val="wwwwP2"/>
    <w:hidden/>
    <w:rsid w:val="006D09C6"/>
  </w:style>
  <w:style w:type="paragraph" w:customStyle="1" w:styleId="P18">
    <w:name w:val="P18"/>
    <w:basedOn w:val="a"/>
    <w:hidden/>
    <w:rsid w:val="006D09C6"/>
    <w:pPr>
      <w:widowControl w:val="0"/>
      <w:adjustRightInd w:val="0"/>
      <w:jc w:val="center"/>
    </w:pPr>
    <w:rPr>
      <w:szCs w:val="20"/>
    </w:rPr>
  </w:style>
  <w:style w:type="paragraph" w:customStyle="1" w:styleId="P19">
    <w:name w:val="P19"/>
    <w:basedOn w:val="a"/>
    <w:hidden/>
    <w:rsid w:val="006D09C6"/>
    <w:pPr>
      <w:widowControl w:val="0"/>
      <w:adjustRightInd w:val="0"/>
      <w:jc w:val="center"/>
    </w:pPr>
    <w:rPr>
      <w:b/>
      <w:szCs w:val="20"/>
    </w:rPr>
  </w:style>
  <w:style w:type="paragraph" w:customStyle="1" w:styleId="P20">
    <w:name w:val="P20"/>
    <w:basedOn w:val="a"/>
    <w:hidden/>
    <w:rsid w:val="006D09C6"/>
    <w:pPr>
      <w:widowControl w:val="0"/>
      <w:adjustRightInd w:val="0"/>
    </w:pPr>
    <w:rPr>
      <w:szCs w:val="20"/>
    </w:rPr>
  </w:style>
  <w:style w:type="paragraph" w:customStyle="1" w:styleId="P22">
    <w:name w:val="P22"/>
    <w:basedOn w:val="a"/>
    <w:hidden/>
    <w:rsid w:val="006D09C6"/>
    <w:pPr>
      <w:widowControl w:val="0"/>
      <w:adjustRightInd w:val="0"/>
    </w:pPr>
    <w:rPr>
      <w:szCs w:val="20"/>
    </w:rPr>
  </w:style>
  <w:style w:type="paragraph" w:customStyle="1" w:styleId="P24">
    <w:name w:val="P24"/>
    <w:basedOn w:val="a"/>
    <w:hidden/>
    <w:rsid w:val="006D09C6"/>
    <w:pPr>
      <w:widowControl w:val="0"/>
      <w:adjustRightInd w:val="0"/>
      <w:jc w:val="center"/>
    </w:pPr>
    <w:rPr>
      <w:sz w:val="22"/>
      <w:szCs w:val="20"/>
    </w:rPr>
  </w:style>
  <w:style w:type="character" w:customStyle="1" w:styleId="T1">
    <w:name w:val="T1"/>
    <w:hidden/>
    <w:rsid w:val="006D09C6"/>
    <w:rPr>
      <w:b/>
    </w:rPr>
  </w:style>
  <w:style w:type="character" w:customStyle="1" w:styleId="T2">
    <w:name w:val="T2"/>
    <w:hidden/>
    <w:rsid w:val="006D09C6"/>
    <w:rPr>
      <w:b/>
    </w:rPr>
  </w:style>
  <w:style w:type="character" w:styleId="a8">
    <w:name w:val="Hyperlink"/>
    <w:rsid w:val="006D09C6"/>
    <w:rPr>
      <w:color w:val="000080"/>
      <w:u w:val="single"/>
    </w:rPr>
  </w:style>
  <w:style w:type="character" w:styleId="a9">
    <w:name w:val="Placeholder Text"/>
    <w:basedOn w:val="a0"/>
    <w:uiPriority w:val="99"/>
    <w:semiHidden/>
    <w:rsid w:val="000067F8"/>
    <w:rPr>
      <w:color w:val="808080"/>
    </w:rPr>
  </w:style>
  <w:style w:type="table" w:styleId="aa">
    <w:name w:val="Table Grid"/>
    <w:basedOn w:val="a1"/>
    <w:rsid w:val="009F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C409B"/>
    <w:pPr>
      <w:ind w:left="720"/>
      <w:contextualSpacing/>
    </w:pPr>
  </w:style>
  <w:style w:type="character" w:styleId="ac">
    <w:name w:val="Emphasis"/>
    <w:uiPriority w:val="20"/>
    <w:qFormat/>
    <w:rsid w:val="005D6FE6"/>
    <w:rPr>
      <w:i/>
      <w:iCs/>
    </w:rPr>
  </w:style>
  <w:style w:type="character" w:styleId="ad">
    <w:name w:val="Strong"/>
    <w:uiPriority w:val="22"/>
    <w:qFormat/>
    <w:rsid w:val="005D6FE6"/>
    <w:rPr>
      <w:b/>
      <w:bCs/>
    </w:rPr>
  </w:style>
  <w:style w:type="character" w:customStyle="1" w:styleId="apple-converted-space">
    <w:name w:val="apple-converted-space"/>
    <w:rsid w:val="005D6FE6"/>
  </w:style>
  <w:style w:type="paragraph" w:styleId="ae">
    <w:name w:val="Body Text"/>
    <w:basedOn w:val="a"/>
    <w:link w:val="af"/>
    <w:unhideWhenUsed/>
    <w:rsid w:val="00014DEE"/>
    <w:pPr>
      <w:jc w:val="both"/>
    </w:pPr>
    <w:rPr>
      <w:szCs w:val="20"/>
    </w:rPr>
  </w:style>
  <w:style w:type="character" w:customStyle="1" w:styleId="af">
    <w:name w:val="Основной текст Знак"/>
    <w:basedOn w:val="a0"/>
    <w:link w:val="ae"/>
    <w:rsid w:val="00014DE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4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umasurgu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AA02774475744F4895FBAF9F44B0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67379C-4597-4DA0-B7F4-2EF67BDC0B8C}"/>
      </w:docPartPr>
      <w:docPartBody>
        <w:p w:rsidR="00522273" w:rsidRDefault="005E5F49">
          <w:pPr>
            <w:pStyle w:val="CAA02774475744F4895FBAF9F44B0D9E"/>
          </w:pPr>
          <w:r w:rsidRPr="0028617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49"/>
    <w:rsid w:val="00021886"/>
    <w:rsid w:val="001B1C6F"/>
    <w:rsid w:val="001C5A05"/>
    <w:rsid w:val="002110E5"/>
    <w:rsid w:val="002F2496"/>
    <w:rsid w:val="00522273"/>
    <w:rsid w:val="00541935"/>
    <w:rsid w:val="005E5F49"/>
    <w:rsid w:val="00610712"/>
    <w:rsid w:val="006A1BB0"/>
    <w:rsid w:val="006D204C"/>
    <w:rsid w:val="00723227"/>
    <w:rsid w:val="00810B1B"/>
    <w:rsid w:val="00A34819"/>
    <w:rsid w:val="00A54B08"/>
    <w:rsid w:val="00AB4CBC"/>
    <w:rsid w:val="00B1209F"/>
    <w:rsid w:val="00E314FD"/>
    <w:rsid w:val="00E53347"/>
    <w:rsid w:val="00F84BC4"/>
    <w:rsid w:val="00FC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CAA02774475744F4895FBAF9F44B0D9E">
    <w:name w:val="CAA02774475744F4895FBAF9F44B0D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3567</Words>
  <Characters>20338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Unit</Company>
  <LinksUpToDate>false</LinksUpToDate>
  <CharactersWithSpaces>23858</CharactersWithSpaces>
  <SharedDoc>false</SharedDoc>
  <HLinks>
    <vt:vector size="6" baseType="variant">
      <vt:variant>
        <vt:i4>852048</vt:i4>
      </vt:variant>
      <vt:variant>
        <vt:i4>3</vt:i4>
      </vt:variant>
      <vt:variant>
        <vt:i4>0</vt:i4>
      </vt:variant>
      <vt:variant>
        <vt:i4>5</vt:i4>
      </vt:variant>
      <vt:variant>
        <vt:lpwstr>http://www.dumasurgut.ru/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Савинкова Юлия Сергеевна</dc:creator>
  <cp:lastModifiedBy>Савинкова Юлия Сергеевна﻿</cp:lastModifiedBy>
  <cp:revision>14</cp:revision>
  <cp:lastPrinted>2017-11-28T06:06:00Z</cp:lastPrinted>
  <dcterms:created xsi:type="dcterms:W3CDTF">2017-11-27T10:42:00Z</dcterms:created>
  <dcterms:modified xsi:type="dcterms:W3CDTF">2017-11-28T06:25:00Z</dcterms:modified>
</cp:coreProperties>
</file>